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014D" w14:textId="01A26A47" w:rsidR="001728C2" w:rsidRPr="007F42CA" w:rsidRDefault="001728C2" w:rsidP="001728C2">
      <w:pPr>
        <w:jc w:val="center"/>
        <w:rPr>
          <w:b/>
          <w:sz w:val="22"/>
        </w:rPr>
      </w:pPr>
      <w:r w:rsidRPr="007F42CA">
        <w:rPr>
          <w:b/>
          <w:sz w:val="22"/>
        </w:rPr>
        <w:t xml:space="preserve">Uwagi do </w:t>
      </w:r>
      <w:r w:rsidR="00EB49D5">
        <w:rPr>
          <w:b/>
          <w:sz w:val="22"/>
        </w:rPr>
        <w:t xml:space="preserve">projektu </w:t>
      </w:r>
      <w:r w:rsidR="00282DEE" w:rsidRPr="00282DEE">
        <w:rPr>
          <w:b/>
          <w:sz w:val="22"/>
        </w:rPr>
        <w:t xml:space="preserve">rozporządzenia Ministra Rozwoju, Pracy i Technologii </w:t>
      </w:r>
      <w:r w:rsidR="00CF025B" w:rsidRPr="00CF025B">
        <w:rPr>
          <w:b/>
          <w:sz w:val="22"/>
        </w:rPr>
        <w:t>zmieniającego rozporządzenie w sprawie szczegółowego zakresu i formy projektu budowlanego</w:t>
      </w:r>
      <w:r w:rsidRPr="007F42CA">
        <w:rPr>
          <w:b/>
          <w:sz w:val="22"/>
        </w:rPr>
        <w:t>, zgłoszon</w:t>
      </w:r>
      <w:r w:rsidR="00DA159F">
        <w:rPr>
          <w:b/>
          <w:sz w:val="22"/>
        </w:rPr>
        <w:t>e</w:t>
      </w:r>
      <w:r w:rsidRPr="007F42CA">
        <w:rPr>
          <w:b/>
          <w:sz w:val="22"/>
        </w:rPr>
        <w:t xml:space="preserve"> w ramach konsultacji publicznych</w:t>
      </w:r>
    </w:p>
    <w:p w14:paraId="7E12B57E" w14:textId="77777777" w:rsidR="001728C2" w:rsidRDefault="001728C2" w:rsidP="001728C2">
      <w:pPr>
        <w:jc w:val="center"/>
      </w:pPr>
    </w:p>
    <w:tbl>
      <w:tblPr>
        <w:tblStyle w:val="Tabela-Siatka"/>
        <w:tblW w:w="14312" w:type="dxa"/>
        <w:tblLook w:val="04A0" w:firstRow="1" w:lastRow="0" w:firstColumn="1" w:lastColumn="0" w:noHBand="0" w:noVBand="1"/>
      </w:tblPr>
      <w:tblGrid>
        <w:gridCol w:w="554"/>
        <w:gridCol w:w="1647"/>
        <w:gridCol w:w="1834"/>
        <w:gridCol w:w="6112"/>
        <w:gridCol w:w="4165"/>
      </w:tblGrid>
      <w:tr w:rsidR="00362B4A" w:rsidRPr="000D3255" w14:paraId="11C45C9B" w14:textId="77777777" w:rsidTr="00FB5A28">
        <w:tc>
          <w:tcPr>
            <w:tcW w:w="556" w:type="dxa"/>
            <w:shd w:val="clear" w:color="auto" w:fill="8EAADB" w:themeFill="accent1" w:themeFillTint="99"/>
          </w:tcPr>
          <w:p w14:paraId="2EC9B0C4" w14:textId="77777777" w:rsidR="00FB5A28" w:rsidRPr="000D3255" w:rsidRDefault="00FB5A28" w:rsidP="00A5195E">
            <w:pPr>
              <w:jc w:val="center"/>
              <w:rPr>
                <w:b/>
                <w:sz w:val="18"/>
                <w:szCs w:val="20"/>
              </w:rPr>
            </w:pPr>
            <w:r w:rsidRPr="000D3255">
              <w:rPr>
                <w:b/>
                <w:sz w:val="18"/>
                <w:szCs w:val="20"/>
              </w:rPr>
              <w:t>Lp.</w:t>
            </w:r>
          </w:p>
        </w:tc>
        <w:tc>
          <w:tcPr>
            <w:tcW w:w="1424" w:type="dxa"/>
            <w:shd w:val="clear" w:color="auto" w:fill="8EAADB" w:themeFill="accent1" w:themeFillTint="99"/>
          </w:tcPr>
          <w:p w14:paraId="0A8F0AC6" w14:textId="77777777" w:rsidR="00FB5A28" w:rsidRPr="000D3255" w:rsidRDefault="00FB5A28" w:rsidP="00A5195E">
            <w:pPr>
              <w:jc w:val="center"/>
              <w:rPr>
                <w:b/>
                <w:sz w:val="18"/>
                <w:szCs w:val="20"/>
              </w:rPr>
            </w:pPr>
            <w:r w:rsidRPr="000D3255">
              <w:rPr>
                <w:b/>
                <w:sz w:val="18"/>
                <w:szCs w:val="20"/>
              </w:rPr>
              <w:t>Jednostka redakcyjna</w:t>
            </w:r>
          </w:p>
        </w:tc>
        <w:tc>
          <w:tcPr>
            <w:tcW w:w="1843" w:type="dxa"/>
            <w:shd w:val="clear" w:color="auto" w:fill="8EAADB" w:themeFill="accent1" w:themeFillTint="99"/>
          </w:tcPr>
          <w:p w14:paraId="2C9D10EB" w14:textId="77777777" w:rsidR="00FB5A28" w:rsidRPr="000D3255" w:rsidRDefault="00FB5A28" w:rsidP="007223F4">
            <w:pPr>
              <w:jc w:val="center"/>
              <w:rPr>
                <w:b/>
                <w:sz w:val="18"/>
                <w:szCs w:val="20"/>
              </w:rPr>
            </w:pPr>
            <w:r w:rsidRPr="000D3255">
              <w:rPr>
                <w:b/>
                <w:sz w:val="18"/>
                <w:szCs w:val="20"/>
              </w:rPr>
              <w:t>Organ/Podmiot</w:t>
            </w:r>
          </w:p>
        </w:tc>
        <w:tc>
          <w:tcPr>
            <w:tcW w:w="6237" w:type="dxa"/>
            <w:shd w:val="clear" w:color="auto" w:fill="8EAADB" w:themeFill="accent1" w:themeFillTint="99"/>
          </w:tcPr>
          <w:p w14:paraId="209EC9AF" w14:textId="77777777" w:rsidR="00FB5A28" w:rsidRPr="00C509A9" w:rsidRDefault="00FB5A28" w:rsidP="00A5195E">
            <w:pPr>
              <w:jc w:val="center"/>
              <w:rPr>
                <w:b/>
                <w:sz w:val="22"/>
              </w:rPr>
            </w:pPr>
            <w:r w:rsidRPr="00C509A9">
              <w:rPr>
                <w:b/>
                <w:sz w:val="18"/>
                <w:szCs w:val="20"/>
              </w:rPr>
              <w:t>Treść uwagi</w:t>
            </w:r>
          </w:p>
        </w:tc>
        <w:tc>
          <w:tcPr>
            <w:tcW w:w="4252" w:type="dxa"/>
            <w:shd w:val="clear" w:color="auto" w:fill="8EAADB" w:themeFill="accent1" w:themeFillTint="99"/>
          </w:tcPr>
          <w:p w14:paraId="06AC0EE7" w14:textId="77777777" w:rsidR="00FB5A28" w:rsidRPr="000D3255" w:rsidRDefault="00FB5A28" w:rsidP="00A5195E">
            <w:pPr>
              <w:jc w:val="center"/>
              <w:rPr>
                <w:b/>
                <w:sz w:val="18"/>
                <w:szCs w:val="20"/>
              </w:rPr>
            </w:pPr>
            <w:r w:rsidRPr="000D3255">
              <w:rPr>
                <w:b/>
                <w:sz w:val="18"/>
                <w:szCs w:val="20"/>
              </w:rPr>
              <w:t>Stanowisko GUNB</w:t>
            </w:r>
          </w:p>
        </w:tc>
      </w:tr>
      <w:tr w:rsidR="00FB5A28" w:rsidRPr="007223F4" w14:paraId="63D21E1E" w14:textId="77777777" w:rsidTr="00FB5A28">
        <w:tc>
          <w:tcPr>
            <w:tcW w:w="556" w:type="dxa"/>
          </w:tcPr>
          <w:p w14:paraId="3E3E36FB" w14:textId="77777777" w:rsidR="00FB5A28" w:rsidRPr="00CE2C63" w:rsidRDefault="00FB5A28" w:rsidP="00B5156D">
            <w:pPr>
              <w:jc w:val="center"/>
              <w:rPr>
                <w:rFonts w:asciiTheme="minorHAnsi" w:hAnsiTheme="minorHAnsi" w:cstheme="minorHAnsi"/>
                <w:szCs w:val="24"/>
              </w:rPr>
            </w:pPr>
            <w:r w:rsidRPr="00CE2C63">
              <w:rPr>
                <w:rFonts w:asciiTheme="minorHAnsi" w:hAnsiTheme="minorHAnsi" w:cstheme="minorHAnsi"/>
                <w:szCs w:val="24"/>
              </w:rPr>
              <w:t>1.</w:t>
            </w:r>
          </w:p>
        </w:tc>
        <w:tc>
          <w:tcPr>
            <w:tcW w:w="1424" w:type="dxa"/>
          </w:tcPr>
          <w:p w14:paraId="09C27D89" w14:textId="02710BBC" w:rsidR="00362B4A" w:rsidRPr="00362B4A" w:rsidRDefault="00362B4A" w:rsidP="00B5156D">
            <w:pPr>
              <w:jc w:val="center"/>
              <w:rPr>
                <w:rFonts w:asciiTheme="minorHAnsi" w:hAnsiTheme="minorHAnsi" w:cstheme="minorHAnsi"/>
                <w:sz w:val="22"/>
              </w:rPr>
            </w:pPr>
            <w:r w:rsidRPr="00AD2D5E">
              <w:rPr>
                <w:rFonts w:asciiTheme="minorHAnsi" w:hAnsiTheme="minorHAnsi" w:cstheme="minorHAnsi"/>
                <w:b/>
                <w:bCs/>
                <w:sz w:val="22"/>
              </w:rPr>
              <w:t>§ 1 pkt. 8</w:t>
            </w:r>
            <w:r w:rsidRPr="00362B4A">
              <w:rPr>
                <w:rFonts w:asciiTheme="minorHAnsi" w:hAnsiTheme="minorHAnsi" w:cstheme="minorHAnsi"/>
                <w:sz w:val="22"/>
              </w:rPr>
              <w:t xml:space="preserve"> projektu zmiany rozporządzenia</w:t>
            </w:r>
          </w:p>
          <w:p w14:paraId="73D01ADD" w14:textId="31185449" w:rsidR="00FB5A28" w:rsidRPr="00362B4A" w:rsidRDefault="00362B4A" w:rsidP="00362B4A">
            <w:pPr>
              <w:jc w:val="center"/>
              <w:rPr>
                <w:rFonts w:asciiTheme="minorHAnsi" w:hAnsiTheme="minorHAnsi" w:cstheme="minorHAnsi"/>
                <w:sz w:val="22"/>
              </w:rPr>
            </w:pPr>
            <w:r w:rsidRPr="00362B4A">
              <w:rPr>
                <w:rFonts w:asciiTheme="minorHAnsi" w:hAnsiTheme="minorHAnsi" w:cstheme="minorHAnsi"/>
                <w:sz w:val="22"/>
              </w:rPr>
              <w:t>(Dot.</w:t>
            </w:r>
            <w:r>
              <w:rPr>
                <w:rFonts w:asciiTheme="minorHAnsi" w:hAnsiTheme="minorHAnsi" w:cstheme="minorHAnsi"/>
                <w:sz w:val="22"/>
              </w:rPr>
              <w:t xml:space="preserve"> wprowadzenia </w:t>
            </w:r>
            <w:r w:rsidR="00CE2C63" w:rsidRPr="00362B4A">
              <w:rPr>
                <w:rFonts w:asciiTheme="minorHAnsi" w:hAnsiTheme="minorHAnsi" w:cstheme="minorHAnsi"/>
                <w:sz w:val="22"/>
              </w:rPr>
              <w:t xml:space="preserve">§ 7 ust. </w:t>
            </w:r>
            <w:r w:rsidR="00321DF7" w:rsidRPr="00362B4A">
              <w:rPr>
                <w:rFonts w:asciiTheme="minorHAnsi" w:hAnsiTheme="minorHAnsi" w:cstheme="minorHAnsi"/>
                <w:sz w:val="22"/>
              </w:rPr>
              <w:t>8</w:t>
            </w:r>
            <w:r>
              <w:rPr>
                <w:rFonts w:asciiTheme="minorHAnsi" w:hAnsiTheme="minorHAnsi" w:cstheme="minorHAnsi"/>
                <w:sz w:val="22"/>
              </w:rPr>
              <w:t xml:space="preserve"> rozporządzenia</w:t>
            </w:r>
            <w:r w:rsidRPr="00362B4A">
              <w:rPr>
                <w:rFonts w:asciiTheme="minorHAnsi" w:hAnsiTheme="minorHAnsi" w:cstheme="minorHAnsi"/>
                <w:sz w:val="22"/>
              </w:rPr>
              <w:t>)</w:t>
            </w:r>
          </w:p>
        </w:tc>
        <w:tc>
          <w:tcPr>
            <w:tcW w:w="1843" w:type="dxa"/>
          </w:tcPr>
          <w:p w14:paraId="11A38EC4" w14:textId="1D13F7DD" w:rsidR="00FB5A28" w:rsidRPr="00362B4A" w:rsidRDefault="00CE2C63" w:rsidP="00B5156D">
            <w:pPr>
              <w:jc w:val="center"/>
              <w:rPr>
                <w:rFonts w:asciiTheme="minorHAnsi" w:hAnsiTheme="minorHAnsi" w:cstheme="minorHAnsi"/>
                <w:b/>
                <w:bCs/>
                <w:szCs w:val="24"/>
              </w:rPr>
            </w:pPr>
            <w:r w:rsidRPr="00362B4A">
              <w:rPr>
                <w:rFonts w:asciiTheme="minorHAnsi" w:hAnsiTheme="minorHAnsi" w:cstheme="minorHAnsi"/>
                <w:b/>
                <w:bCs/>
                <w:szCs w:val="24"/>
              </w:rPr>
              <w:t>IARP</w:t>
            </w:r>
          </w:p>
        </w:tc>
        <w:tc>
          <w:tcPr>
            <w:tcW w:w="6237" w:type="dxa"/>
          </w:tcPr>
          <w:p w14:paraId="442E67C5" w14:textId="50D0CDB1" w:rsidR="00EC1816" w:rsidRPr="00C509A9" w:rsidRDefault="00321DF7" w:rsidP="00CE2C63">
            <w:pPr>
              <w:rPr>
                <w:rFonts w:asciiTheme="minorHAnsi" w:hAnsiTheme="minorHAnsi" w:cstheme="minorHAnsi"/>
                <w:sz w:val="22"/>
              </w:rPr>
            </w:pPr>
            <w:r w:rsidRPr="00C509A9">
              <w:rPr>
                <w:rFonts w:asciiTheme="minorHAnsi" w:hAnsiTheme="minorHAnsi" w:cstheme="minorHAnsi"/>
                <w:sz w:val="22"/>
              </w:rPr>
              <w:t xml:space="preserve">W celu łatwiejszego zrozumienia dyspozycji projektowanego § 7 </w:t>
            </w:r>
            <w:r w:rsidR="00EC1816" w:rsidRPr="00C509A9">
              <w:rPr>
                <w:rFonts w:asciiTheme="minorHAnsi" w:hAnsiTheme="minorHAnsi" w:cstheme="minorHAnsi"/>
                <w:sz w:val="22"/>
              </w:rPr>
              <w:t>ust. 8</w:t>
            </w:r>
            <w:r w:rsidRPr="00C509A9">
              <w:rPr>
                <w:rFonts w:asciiTheme="minorHAnsi" w:hAnsiTheme="minorHAnsi" w:cstheme="minorHAnsi"/>
                <w:sz w:val="22"/>
              </w:rPr>
              <w:t xml:space="preserve"> rozporządzenia, proponuje się zmianę w brzmieniu:</w:t>
            </w:r>
          </w:p>
          <w:p w14:paraId="3F7B145E" w14:textId="65424D8F" w:rsidR="00321DF7" w:rsidRPr="00C509A9" w:rsidRDefault="00321DF7" w:rsidP="007223F4">
            <w:pPr>
              <w:rPr>
                <w:rFonts w:asciiTheme="minorHAnsi" w:hAnsiTheme="minorHAnsi" w:cstheme="minorHAnsi"/>
                <w:sz w:val="22"/>
              </w:rPr>
            </w:pPr>
            <w:r w:rsidRPr="00C509A9">
              <w:rPr>
                <w:rFonts w:asciiTheme="minorHAnsi" w:hAnsiTheme="minorHAnsi" w:cstheme="minorHAnsi"/>
                <w:b/>
                <w:bCs/>
                <w:sz w:val="22"/>
              </w:rPr>
              <w:t>„8. Łączny spis treści wskazany w ust. 7 nie obejmuje projektu technicznego”</w:t>
            </w:r>
            <w:r w:rsidRPr="00C509A9">
              <w:rPr>
                <w:rFonts w:asciiTheme="minorHAnsi" w:hAnsiTheme="minorHAnsi" w:cstheme="minorHAnsi"/>
                <w:sz w:val="22"/>
              </w:rPr>
              <w:t>.</w:t>
            </w:r>
          </w:p>
          <w:p w14:paraId="6C407246" w14:textId="5388BB02" w:rsidR="00EC1816" w:rsidRPr="00C509A9" w:rsidRDefault="00EC1816" w:rsidP="007223F4">
            <w:pPr>
              <w:rPr>
                <w:rFonts w:asciiTheme="minorHAnsi" w:hAnsiTheme="minorHAnsi" w:cstheme="minorHAnsi"/>
                <w:sz w:val="22"/>
              </w:rPr>
            </w:pPr>
            <w:r w:rsidRPr="00C509A9">
              <w:rPr>
                <w:rFonts w:asciiTheme="minorHAnsi" w:hAnsiTheme="minorHAnsi" w:cstheme="minorHAnsi"/>
                <w:sz w:val="22"/>
              </w:rPr>
              <w:t>Uzasadnienie:</w:t>
            </w:r>
          </w:p>
          <w:p w14:paraId="303ED631" w14:textId="136230F5" w:rsidR="00485C31" w:rsidRPr="00C509A9" w:rsidRDefault="00321DF7" w:rsidP="00C509A9">
            <w:pPr>
              <w:rPr>
                <w:rFonts w:asciiTheme="minorHAnsi" w:hAnsiTheme="minorHAnsi" w:cstheme="minorHAnsi"/>
                <w:sz w:val="22"/>
              </w:rPr>
            </w:pPr>
            <w:r w:rsidRPr="00C509A9">
              <w:rPr>
                <w:rFonts w:asciiTheme="minorHAnsi" w:hAnsiTheme="minorHAnsi" w:cstheme="minorHAnsi"/>
                <w:sz w:val="22"/>
              </w:rPr>
              <w:t>Zawarta w projekcie rozporządzenia treść § 7 ust. 8. „Przepisu ust. 7 pkt 1 nie stosuje do projektu technicznego” może zostać odebrana jako brak możliwości sporządzenia łącznego spisu treści dla</w:t>
            </w:r>
            <w:r w:rsidR="00485C31" w:rsidRPr="00C509A9">
              <w:rPr>
                <w:rFonts w:asciiTheme="minorHAnsi" w:hAnsiTheme="minorHAnsi" w:cstheme="minorHAnsi"/>
                <w:sz w:val="22"/>
              </w:rPr>
              <w:t xml:space="preserve"> konfiguracji składającej się z</w:t>
            </w:r>
            <w:r w:rsidRPr="00C509A9">
              <w:rPr>
                <w:rFonts w:asciiTheme="minorHAnsi" w:hAnsiTheme="minorHAnsi" w:cstheme="minorHAnsi"/>
                <w:sz w:val="22"/>
              </w:rPr>
              <w:t xml:space="preserve"> projektu technicznego </w:t>
            </w:r>
            <w:r w:rsidR="00485C31" w:rsidRPr="00C509A9">
              <w:rPr>
                <w:rFonts w:asciiTheme="minorHAnsi" w:hAnsiTheme="minorHAnsi" w:cstheme="minorHAnsi"/>
                <w:sz w:val="22"/>
              </w:rPr>
              <w:t>oraz</w:t>
            </w:r>
            <w:r w:rsidRPr="00C509A9">
              <w:rPr>
                <w:rFonts w:asciiTheme="minorHAnsi" w:hAnsiTheme="minorHAnsi" w:cstheme="minorHAnsi"/>
                <w:sz w:val="22"/>
              </w:rPr>
              <w:t xml:space="preserve"> załącznik</w:t>
            </w:r>
            <w:r w:rsidR="00485C31" w:rsidRPr="00C509A9">
              <w:rPr>
                <w:rFonts w:asciiTheme="minorHAnsi" w:hAnsiTheme="minorHAnsi" w:cstheme="minorHAnsi"/>
                <w:sz w:val="22"/>
              </w:rPr>
              <w:t>ów</w:t>
            </w:r>
            <w:r w:rsidRPr="00C509A9">
              <w:rPr>
                <w:rFonts w:asciiTheme="minorHAnsi" w:hAnsiTheme="minorHAnsi" w:cstheme="minorHAnsi"/>
                <w:sz w:val="22"/>
              </w:rPr>
              <w:t xml:space="preserve"> </w:t>
            </w:r>
            <w:r w:rsidR="00485C31" w:rsidRPr="00C509A9">
              <w:rPr>
                <w:rFonts w:asciiTheme="minorHAnsi" w:hAnsiTheme="minorHAnsi" w:cstheme="minorHAnsi"/>
                <w:sz w:val="22"/>
              </w:rPr>
              <w:t>(</w:t>
            </w:r>
            <w:r w:rsidRPr="00C509A9">
              <w:rPr>
                <w:rFonts w:asciiTheme="minorHAnsi" w:hAnsiTheme="minorHAnsi" w:cstheme="minorHAnsi"/>
                <w:sz w:val="22"/>
              </w:rPr>
              <w:t>jeżeli tak</w:t>
            </w:r>
            <w:r w:rsidR="00485C31" w:rsidRPr="00C509A9">
              <w:rPr>
                <w:rFonts w:asciiTheme="minorHAnsi" w:hAnsiTheme="minorHAnsi" w:cstheme="minorHAnsi"/>
                <w:sz w:val="22"/>
              </w:rPr>
              <w:t>a</w:t>
            </w:r>
            <w:r w:rsidRPr="00C509A9">
              <w:rPr>
                <w:rFonts w:asciiTheme="minorHAnsi" w:hAnsiTheme="minorHAnsi" w:cstheme="minorHAnsi"/>
                <w:sz w:val="22"/>
              </w:rPr>
              <w:t xml:space="preserve"> konfiguracj</w:t>
            </w:r>
            <w:r w:rsidR="00485C31" w:rsidRPr="00C509A9">
              <w:rPr>
                <w:rFonts w:asciiTheme="minorHAnsi" w:hAnsiTheme="minorHAnsi" w:cstheme="minorHAnsi"/>
                <w:sz w:val="22"/>
              </w:rPr>
              <w:t>a wynikałaby z zakresu projektu)</w:t>
            </w:r>
            <w:r w:rsidR="00C509A9">
              <w:rPr>
                <w:rFonts w:asciiTheme="minorHAnsi" w:hAnsiTheme="minorHAnsi" w:cstheme="minorHAnsi"/>
                <w:sz w:val="22"/>
              </w:rPr>
              <w:t>.</w:t>
            </w:r>
          </w:p>
          <w:p w14:paraId="40AA81E1" w14:textId="55AE1B82" w:rsidR="00EC1816" w:rsidRPr="00C509A9" w:rsidRDefault="00485C31" w:rsidP="00C95692">
            <w:pPr>
              <w:spacing w:after="120"/>
              <w:rPr>
                <w:rFonts w:asciiTheme="minorHAnsi" w:hAnsiTheme="minorHAnsi" w:cstheme="minorHAnsi"/>
                <w:sz w:val="22"/>
              </w:rPr>
            </w:pPr>
            <w:r w:rsidRPr="00C509A9">
              <w:rPr>
                <w:rFonts w:asciiTheme="minorHAnsi" w:hAnsiTheme="minorHAnsi" w:cstheme="minorHAnsi"/>
                <w:sz w:val="22"/>
              </w:rPr>
              <w:t>Wydaje się, że ideą ust. 7 jest brak możliwości sporządzenia wspólnego spisu łącznie z PT wówczas gdy wspólnie oprawia się PZT, PAB</w:t>
            </w:r>
            <w:r w:rsidR="00932D03">
              <w:rPr>
                <w:rFonts w:asciiTheme="minorHAnsi" w:hAnsiTheme="minorHAnsi" w:cstheme="minorHAnsi"/>
                <w:sz w:val="22"/>
              </w:rPr>
              <w:t xml:space="preserve"> i</w:t>
            </w:r>
            <w:r w:rsidRPr="00C509A9">
              <w:rPr>
                <w:rFonts w:asciiTheme="minorHAnsi" w:hAnsiTheme="minorHAnsi" w:cstheme="minorHAnsi"/>
                <w:sz w:val="22"/>
              </w:rPr>
              <w:t xml:space="preserve"> ZL</w:t>
            </w:r>
            <w:r w:rsidR="00932D03">
              <w:rPr>
                <w:rFonts w:asciiTheme="minorHAnsi" w:hAnsiTheme="minorHAnsi" w:cstheme="minorHAnsi"/>
                <w:sz w:val="22"/>
              </w:rPr>
              <w:t xml:space="preserve"> (opinie, uzgodnienia…)</w:t>
            </w:r>
            <w:r w:rsidRPr="00C509A9">
              <w:rPr>
                <w:rFonts w:asciiTheme="minorHAnsi" w:hAnsiTheme="minorHAnsi" w:cstheme="minorHAnsi"/>
                <w:sz w:val="22"/>
              </w:rPr>
              <w:t xml:space="preserve"> wraz  projektem technicznym. </w:t>
            </w:r>
            <w:r w:rsidR="00321DF7" w:rsidRPr="00C509A9">
              <w:rPr>
                <w:rFonts w:asciiTheme="minorHAnsi" w:hAnsiTheme="minorHAnsi" w:cstheme="minorHAnsi"/>
                <w:sz w:val="22"/>
              </w:rPr>
              <w:t xml:space="preserve"> </w:t>
            </w:r>
          </w:p>
        </w:tc>
        <w:tc>
          <w:tcPr>
            <w:tcW w:w="4252" w:type="dxa"/>
          </w:tcPr>
          <w:p w14:paraId="7A7B35F6" w14:textId="25BDD2E8" w:rsidR="00B5156D" w:rsidRPr="00CE2C63" w:rsidRDefault="00B5156D" w:rsidP="00B5156D">
            <w:pPr>
              <w:rPr>
                <w:rFonts w:asciiTheme="minorHAnsi" w:hAnsiTheme="minorHAnsi" w:cstheme="minorHAnsi"/>
                <w:szCs w:val="24"/>
              </w:rPr>
            </w:pPr>
          </w:p>
        </w:tc>
      </w:tr>
      <w:tr w:rsidR="00FB5A28" w:rsidRPr="000D3255" w14:paraId="4ABAE58E" w14:textId="77777777" w:rsidTr="00FB5A28">
        <w:tc>
          <w:tcPr>
            <w:tcW w:w="556" w:type="dxa"/>
          </w:tcPr>
          <w:p w14:paraId="0EDA5991" w14:textId="2F93A840" w:rsidR="00FB5A28" w:rsidRPr="00A159B3" w:rsidRDefault="00FB5A28" w:rsidP="00B5156D">
            <w:pPr>
              <w:jc w:val="center"/>
              <w:rPr>
                <w:rFonts w:asciiTheme="minorHAnsi" w:hAnsiTheme="minorHAnsi" w:cstheme="minorHAnsi"/>
                <w:szCs w:val="24"/>
              </w:rPr>
            </w:pPr>
            <w:r w:rsidRPr="00A159B3">
              <w:rPr>
                <w:rFonts w:asciiTheme="minorHAnsi" w:hAnsiTheme="minorHAnsi" w:cstheme="minorHAnsi"/>
                <w:szCs w:val="24"/>
              </w:rPr>
              <w:t>2.</w:t>
            </w:r>
          </w:p>
        </w:tc>
        <w:tc>
          <w:tcPr>
            <w:tcW w:w="1424" w:type="dxa"/>
          </w:tcPr>
          <w:p w14:paraId="69AABC08" w14:textId="2F8C85B4" w:rsidR="00FB5A28" w:rsidRPr="00362B4A" w:rsidRDefault="00362B4A" w:rsidP="00B5156D">
            <w:pPr>
              <w:jc w:val="center"/>
              <w:rPr>
                <w:sz w:val="22"/>
              </w:rPr>
            </w:pPr>
            <w:r>
              <w:rPr>
                <w:rFonts w:asciiTheme="minorHAnsi" w:hAnsiTheme="minorHAnsi" w:cstheme="minorHAnsi"/>
                <w:sz w:val="22"/>
              </w:rPr>
              <w:t xml:space="preserve">Dot. </w:t>
            </w:r>
            <w:r w:rsidR="00707155" w:rsidRPr="00362B4A">
              <w:rPr>
                <w:rFonts w:asciiTheme="minorHAnsi" w:hAnsiTheme="minorHAnsi" w:cstheme="minorHAnsi"/>
                <w:sz w:val="22"/>
              </w:rPr>
              <w:t>§ 20 pkt. 10</w:t>
            </w:r>
            <w:r>
              <w:rPr>
                <w:rFonts w:asciiTheme="minorHAnsi" w:hAnsiTheme="minorHAnsi" w:cstheme="minorHAnsi"/>
                <w:sz w:val="22"/>
              </w:rPr>
              <w:br/>
            </w:r>
            <w:r w:rsidR="00707155" w:rsidRPr="00362B4A">
              <w:rPr>
                <w:rFonts w:asciiTheme="minorHAnsi" w:hAnsiTheme="minorHAnsi" w:cstheme="minorHAnsi"/>
                <w:sz w:val="22"/>
              </w:rPr>
              <w:t xml:space="preserve"> </w:t>
            </w:r>
            <w:r>
              <w:rPr>
                <w:rFonts w:asciiTheme="minorHAnsi" w:hAnsiTheme="minorHAnsi" w:cstheme="minorHAnsi"/>
                <w:sz w:val="22"/>
              </w:rPr>
              <w:t>obecnego rozporządzenia</w:t>
            </w:r>
          </w:p>
        </w:tc>
        <w:tc>
          <w:tcPr>
            <w:tcW w:w="1843" w:type="dxa"/>
          </w:tcPr>
          <w:p w14:paraId="55FC6D20" w14:textId="669D97C4" w:rsidR="00FB5A28" w:rsidRPr="00362B4A" w:rsidRDefault="00707155" w:rsidP="00B5156D">
            <w:pPr>
              <w:jc w:val="center"/>
              <w:rPr>
                <w:b/>
                <w:bCs/>
                <w:sz w:val="16"/>
                <w:szCs w:val="16"/>
              </w:rPr>
            </w:pPr>
            <w:r w:rsidRPr="00362B4A">
              <w:rPr>
                <w:rFonts w:asciiTheme="minorHAnsi" w:hAnsiTheme="minorHAnsi" w:cstheme="minorHAnsi"/>
                <w:b/>
                <w:bCs/>
                <w:szCs w:val="24"/>
              </w:rPr>
              <w:t>IARP</w:t>
            </w:r>
          </w:p>
        </w:tc>
        <w:tc>
          <w:tcPr>
            <w:tcW w:w="6237" w:type="dxa"/>
          </w:tcPr>
          <w:p w14:paraId="3EA9C5DB" w14:textId="0E2CF087" w:rsidR="00C95692" w:rsidRPr="00C509A9" w:rsidRDefault="00932D03" w:rsidP="00C509A9">
            <w:pPr>
              <w:pStyle w:val="Akapitzlist"/>
              <w:shd w:val="clear" w:color="auto" w:fill="FFFFFF"/>
              <w:spacing w:before="0"/>
              <w:ind w:left="0"/>
              <w:jc w:val="left"/>
              <w:rPr>
                <w:rFonts w:asciiTheme="minorHAnsi" w:hAnsiTheme="minorHAnsi" w:cstheme="minorHAnsi"/>
                <w:sz w:val="22"/>
              </w:rPr>
            </w:pPr>
            <w:bookmarkStart w:id="0" w:name="_Hlk71830840"/>
            <w:r>
              <w:rPr>
                <w:rFonts w:asciiTheme="minorHAnsi" w:eastAsia="Times New Roman" w:hAnsiTheme="minorHAnsi" w:cstheme="minorHAnsi"/>
                <w:sz w:val="22"/>
                <w:shd w:val="clear" w:color="auto" w:fill="FFFFFF"/>
                <w:lang w:eastAsia="pl-PL"/>
              </w:rPr>
              <w:t xml:space="preserve">W nawiązaniu do pisma przewodniego </w:t>
            </w:r>
            <w:r w:rsidR="00725895">
              <w:rPr>
                <w:rFonts w:asciiTheme="minorHAnsi" w:eastAsia="Times New Roman" w:hAnsiTheme="minorHAnsi" w:cstheme="minorHAnsi"/>
                <w:sz w:val="22"/>
                <w:shd w:val="clear" w:color="auto" w:fill="FFFFFF"/>
                <w:lang w:eastAsia="pl-PL"/>
              </w:rPr>
              <w:t xml:space="preserve">podnosimy </w:t>
            </w:r>
            <w:r w:rsidR="00362B4A" w:rsidRPr="00C509A9">
              <w:rPr>
                <w:rFonts w:asciiTheme="minorHAnsi" w:eastAsia="Times New Roman" w:hAnsiTheme="minorHAnsi" w:cstheme="minorHAnsi"/>
                <w:sz w:val="22"/>
                <w:shd w:val="clear" w:color="auto" w:fill="FFFFFF"/>
                <w:lang w:eastAsia="pl-PL"/>
              </w:rPr>
              <w:t xml:space="preserve">problem umieszczenia w projekcie architektoniczno-budowlanym </w:t>
            </w:r>
            <w:r w:rsidR="00362B4A" w:rsidRPr="00C509A9">
              <w:rPr>
                <w:rFonts w:asciiTheme="minorHAnsi" w:hAnsiTheme="minorHAnsi" w:cstheme="minorHAnsi"/>
                <w:sz w:val="22"/>
                <w:u w:val="single"/>
              </w:rPr>
              <w:t>analizy technicznych, środowiskowych i ekonomicznych możliwości realizacji wysoce wydajnych systemów alternatywnych zaopatrzenia w energię i ciepło</w:t>
            </w:r>
            <w:r w:rsidR="00362B4A" w:rsidRPr="00C509A9">
              <w:rPr>
                <w:rFonts w:asciiTheme="minorHAnsi" w:hAnsiTheme="minorHAnsi" w:cstheme="minorHAnsi"/>
                <w:sz w:val="22"/>
              </w:rPr>
              <w:t xml:space="preserve">. </w:t>
            </w:r>
          </w:p>
          <w:p w14:paraId="069F7862" w14:textId="1D16907E" w:rsidR="00FB5A28" w:rsidRPr="00C509A9" w:rsidRDefault="00362B4A" w:rsidP="00C509A9">
            <w:pPr>
              <w:pStyle w:val="Akapitzlist"/>
              <w:shd w:val="clear" w:color="auto" w:fill="FFFFFF"/>
              <w:spacing w:before="0" w:after="120"/>
              <w:ind w:left="0"/>
              <w:jc w:val="left"/>
              <w:rPr>
                <w:sz w:val="22"/>
              </w:rPr>
            </w:pPr>
            <w:r w:rsidRPr="00C509A9">
              <w:rPr>
                <w:rFonts w:asciiTheme="minorHAnsi" w:hAnsiTheme="minorHAnsi" w:cstheme="minorHAnsi"/>
                <w:sz w:val="22"/>
              </w:rPr>
              <w:t>Obecna już praktyka stosowania zapisów rozporządzenia pokazuje, że opracowywanie tej analizy na etapie projektu architektoniczno-budowlanego jest sprzeczne ze specyfiką</w:t>
            </w:r>
            <w:r w:rsidR="00C509A9">
              <w:rPr>
                <w:rFonts w:asciiTheme="minorHAnsi" w:hAnsiTheme="minorHAnsi" w:cstheme="minorHAnsi"/>
                <w:sz w:val="22"/>
              </w:rPr>
              <w:t>,</w:t>
            </w:r>
            <w:r w:rsidRPr="00C509A9">
              <w:rPr>
                <w:rFonts w:asciiTheme="minorHAnsi" w:hAnsiTheme="minorHAnsi" w:cstheme="minorHAnsi"/>
                <w:sz w:val="22"/>
              </w:rPr>
              <w:t xml:space="preserve"> a nawet logiką procesu projektowego. Jest zdecydowanie wyprzedzające w stosunku do zakresu projektu PAB i nieuzasadnione względami prawnymi. Zamieszczenie w projekcie </w:t>
            </w:r>
            <w:r w:rsidRPr="00C509A9">
              <w:rPr>
                <w:rFonts w:asciiTheme="minorHAnsi" w:hAnsiTheme="minorHAnsi" w:cstheme="minorHAnsi"/>
                <w:sz w:val="22"/>
              </w:rPr>
              <w:lastRenderedPageBreak/>
              <w:t xml:space="preserve">architektoniczno-budowlanym, podlegającym zatwierdzeniu ww. analizy nie wynika z zapisów ustawy prawo budowlane, ani wprost art. 6 dyrektywy 2010/31/UE. Nie ma </w:t>
            </w:r>
            <w:r w:rsidR="00C509A9">
              <w:rPr>
                <w:rFonts w:asciiTheme="minorHAnsi" w:hAnsiTheme="minorHAnsi" w:cstheme="minorHAnsi"/>
                <w:sz w:val="22"/>
              </w:rPr>
              <w:t xml:space="preserve">zatem </w:t>
            </w:r>
            <w:r w:rsidRPr="00C509A9">
              <w:rPr>
                <w:rFonts w:asciiTheme="minorHAnsi" w:hAnsiTheme="minorHAnsi" w:cstheme="minorHAnsi"/>
                <w:sz w:val="22"/>
              </w:rPr>
              <w:t>podstaw by implementacja ww. art. dyrektywy odbywała się jako wymóg projektowy na etapie weryfikowanym przez organy aa-b, które nie posiadają żadnych kompetencji i instrumentów do sprawdzania zawartości i prawidłowości takiej analizy. Analiza jest przetworzeniem informacji, ocenianiem i obliczaniem danych, które są dostępne dopiero na etapie rozwiązań zawartych w projekcie technicznym. Wprowadzenie takiego wymogu do proj. arch.-bud. jest niespójne z całym procesem projektowym i uchwalonym podziałem projektu budowlanego. Najbardziej odpowiednim miejscem dla zamieszczenia ww. analizy jest projekt techniczny.</w:t>
            </w:r>
            <w:bookmarkEnd w:id="0"/>
          </w:p>
        </w:tc>
        <w:tc>
          <w:tcPr>
            <w:tcW w:w="4252" w:type="dxa"/>
          </w:tcPr>
          <w:p w14:paraId="7E2E2128" w14:textId="3C9597CD" w:rsidR="00EA2C82" w:rsidRPr="00B5156D" w:rsidRDefault="00EA2C82" w:rsidP="00B5156D">
            <w:pPr>
              <w:rPr>
                <w:sz w:val="16"/>
                <w:szCs w:val="16"/>
              </w:rPr>
            </w:pPr>
          </w:p>
        </w:tc>
      </w:tr>
      <w:tr w:rsidR="00362B4A" w:rsidRPr="000D3255" w14:paraId="1454E7A9" w14:textId="77777777" w:rsidTr="00FB5A28">
        <w:tc>
          <w:tcPr>
            <w:tcW w:w="556" w:type="dxa"/>
          </w:tcPr>
          <w:p w14:paraId="610732CF" w14:textId="096E14C2" w:rsidR="00362B4A" w:rsidRPr="00A159B3" w:rsidRDefault="00A159B3" w:rsidP="00B5156D">
            <w:pPr>
              <w:jc w:val="center"/>
              <w:rPr>
                <w:rFonts w:asciiTheme="minorHAnsi" w:hAnsiTheme="minorHAnsi" w:cstheme="minorHAnsi"/>
                <w:szCs w:val="24"/>
              </w:rPr>
            </w:pPr>
            <w:r w:rsidRPr="00A159B3">
              <w:rPr>
                <w:rFonts w:asciiTheme="minorHAnsi" w:hAnsiTheme="minorHAnsi" w:cstheme="minorHAnsi"/>
                <w:szCs w:val="24"/>
              </w:rPr>
              <w:t>3.</w:t>
            </w:r>
          </w:p>
        </w:tc>
        <w:tc>
          <w:tcPr>
            <w:tcW w:w="1424" w:type="dxa"/>
          </w:tcPr>
          <w:p w14:paraId="6C35183F" w14:textId="0BF610AC" w:rsidR="00362B4A" w:rsidRPr="00CE2C63" w:rsidRDefault="00AD2D5E" w:rsidP="00B5156D">
            <w:pPr>
              <w:jc w:val="center"/>
              <w:rPr>
                <w:rFonts w:asciiTheme="minorHAnsi" w:hAnsiTheme="minorHAnsi" w:cstheme="minorHAnsi"/>
                <w:szCs w:val="24"/>
              </w:rPr>
            </w:pPr>
            <w:r>
              <w:rPr>
                <w:rFonts w:asciiTheme="minorHAnsi" w:hAnsiTheme="minorHAnsi" w:cstheme="minorHAnsi"/>
                <w:sz w:val="22"/>
              </w:rPr>
              <w:t xml:space="preserve">Dot. </w:t>
            </w:r>
            <w:r w:rsidRPr="00362B4A">
              <w:rPr>
                <w:rFonts w:asciiTheme="minorHAnsi" w:hAnsiTheme="minorHAnsi" w:cstheme="minorHAnsi"/>
                <w:sz w:val="22"/>
              </w:rPr>
              <w:t>§ 20 pkt. 1</w:t>
            </w:r>
            <w:r>
              <w:rPr>
                <w:rFonts w:asciiTheme="minorHAnsi" w:hAnsiTheme="minorHAnsi" w:cstheme="minorHAnsi"/>
                <w:sz w:val="22"/>
              </w:rPr>
              <w:t>1</w:t>
            </w:r>
            <w:r>
              <w:rPr>
                <w:rFonts w:asciiTheme="minorHAnsi" w:hAnsiTheme="minorHAnsi" w:cstheme="minorHAnsi"/>
                <w:sz w:val="22"/>
              </w:rPr>
              <w:br/>
            </w:r>
            <w:r w:rsidRPr="00362B4A">
              <w:rPr>
                <w:rFonts w:asciiTheme="minorHAnsi" w:hAnsiTheme="minorHAnsi" w:cstheme="minorHAnsi"/>
                <w:sz w:val="22"/>
              </w:rPr>
              <w:t xml:space="preserve"> </w:t>
            </w:r>
            <w:r>
              <w:rPr>
                <w:rFonts w:asciiTheme="minorHAnsi" w:hAnsiTheme="minorHAnsi" w:cstheme="minorHAnsi"/>
                <w:sz w:val="22"/>
              </w:rPr>
              <w:t>obecnego rozporządzenia</w:t>
            </w:r>
          </w:p>
        </w:tc>
        <w:tc>
          <w:tcPr>
            <w:tcW w:w="1843" w:type="dxa"/>
          </w:tcPr>
          <w:p w14:paraId="4BF01C0D" w14:textId="1190B1CA" w:rsidR="00362B4A" w:rsidRPr="00362B4A" w:rsidRDefault="00362B4A" w:rsidP="00B5156D">
            <w:pPr>
              <w:jc w:val="center"/>
              <w:rPr>
                <w:rFonts w:asciiTheme="minorHAnsi" w:hAnsiTheme="minorHAnsi" w:cstheme="minorHAnsi"/>
                <w:b/>
                <w:bCs/>
                <w:szCs w:val="24"/>
              </w:rPr>
            </w:pPr>
            <w:r w:rsidRPr="00362B4A">
              <w:rPr>
                <w:rFonts w:asciiTheme="minorHAnsi" w:hAnsiTheme="minorHAnsi" w:cstheme="minorHAnsi"/>
                <w:b/>
                <w:bCs/>
                <w:szCs w:val="24"/>
              </w:rPr>
              <w:t>IARP</w:t>
            </w:r>
          </w:p>
        </w:tc>
        <w:tc>
          <w:tcPr>
            <w:tcW w:w="6237" w:type="dxa"/>
          </w:tcPr>
          <w:p w14:paraId="236957AF" w14:textId="3B533E6A" w:rsidR="00C95692" w:rsidRPr="00C509A9" w:rsidRDefault="00C95692" w:rsidP="00C509A9">
            <w:pPr>
              <w:pStyle w:val="Akapitzlist"/>
              <w:shd w:val="clear" w:color="auto" w:fill="FFFFFF"/>
              <w:autoSpaceDE w:val="0"/>
              <w:autoSpaceDN w:val="0"/>
              <w:adjustRightInd w:val="0"/>
              <w:spacing w:before="0"/>
              <w:ind w:left="0"/>
              <w:jc w:val="left"/>
              <w:rPr>
                <w:rFonts w:asciiTheme="minorHAnsi" w:hAnsiTheme="minorHAnsi" w:cstheme="minorHAnsi"/>
                <w:sz w:val="22"/>
              </w:rPr>
            </w:pPr>
            <w:r w:rsidRPr="00C509A9">
              <w:rPr>
                <w:rFonts w:asciiTheme="minorHAnsi" w:hAnsiTheme="minorHAnsi" w:cstheme="minorHAnsi"/>
                <w:sz w:val="22"/>
              </w:rPr>
              <w:t>P</w:t>
            </w:r>
            <w:r w:rsidR="00362B4A" w:rsidRPr="00C509A9">
              <w:rPr>
                <w:rFonts w:asciiTheme="minorHAnsi" w:hAnsiTheme="minorHAnsi" w:cstheme="minorHAnsi"/>
                <w:sz w:val="22"/>
              </w:rPr>
              <w:t>ostuluje</w:t>
            </w:r>
            <w:r w:rsidR="00932D03">
              <w:rPr>
                <w:rFonts w:asciiTheme="minorHAnsi" w:hAnsiTheme="minorHAnsi" w:cstheme="minorHAnsi"/>
                <w:sz w:val="22"/>
              </w:rPr>
              <w:t xml:space="preserve"> się</w:t>
            </w:r>
            <w:r w:rsidR="00AD2D5E" w:rsidRPr="00C509A9">
              <w:rPr>
                <w:rFonts w:asciiTheme="minorHAnsi" w:hAnsiTheme="minorHAnsi" w:cstheme="minorHAnsi"/>
                <w:sz w:val="22"/>
              </w:rPr>
              <w:t xml:space="preserve"> usuni</w:t>
            </w:r>
            <w:r w:rsidRPr="00C509A9">
              <w:rPr>
                <w:rFonts w:asciiTheme="minorHAnsi" w:hAnsiTheme="minorHAnsi" w:cstheme="minorHAnsi"/>
                <w:sz w:val="22"/>
              </w:rPr>
              <w:t>ę</w:t>
            </w:r>
            <w:r w:rsidR="00AD2D5E" w:rsidRPr="00C509A9">
              <w:rPr>
                <w:rFonts w:asciiTheme="minorHAnsi" w:hAnsiTheme="minorHAnsi" w:cstheme="minorHAnsi"/>
                <w:sz w:val="22"/>
              </w:rPr>
              <w:t xml:space="preserve">cie niespójności w zapisach </w:t>
            </w:r>
            <w:r w:rsidRPr="00C509A9">
              <w:rPr>
                <w:rFonts w:asciiTheme="minorHAnsi" w:hAnsiTheme="minorHAnsi" w:cstheme="minorHAnsi"/>
                <w:sz w:val="22"/>
              </w:rPr>
              <w:t>§ 20 pkt. 11</w:t>
            </w:r>
            <w:r w:rsidR="00AD2D5E" w:rsidRPr="00C509A9">
              <w:rPr>
                <w:rFonts w:asciiTheme="minorHAnsi" w:hAnsiTheme="minorHAnsi" w:cstheme="minorHAnsi"/>
                <w:sz w:val="22"/>
              </w:rPr>
              <w:t xml:space="preserve"> </w:t>
            </w:r>
            <w:r w:rsidR="00932D03">
              <w:rPr>
                <w:rFonts w:asciiTheme="minorHAnsi" w:hAnsiTheme="minorHAnsi" w:cstheme="minorHAnsi"/>
                <w:sz w:val="22"/>
              </w:rPr>
              <w:t>oraz</w:t>
            </w:r>
            <w:r w:rsidRPr="00C509A9">
              <w:rPr>
                <w:rFonts w:asciiTheme="minorHAnsi" w:hAnsiTheme="minorHAnsi" w:cstheme="minorHAnsi"/>
                <w:sz w:val="22"/>
              </w:rPr>
              <w:t xml:space="preserve"> analogicznie do pkt 10</w:t>
            </w:r>
            <w:r w:rsidR="00932D03">
              <w:rPr>
                <w:rFonts w:asciiTheme="minorHAnsi" w:hAnsiTheme="minorHAnsi" w:cstheme="minorHAnsi"/>
                <w:sz w:val="22"/>
              </w:rPr>
              <w:t>,</w:t>
            </w:r>
            <w:r w:rsidRPr="00C509A9">
              <w:rPr>
                <w:rFonts w:asciiTheme="minorHAnsi" w:hAnsiTheme="minorHAnsi" w:cstheme="minorHAnsi"/>
                <w:sz w:val="22"/>
              </w:rPr>
              <w:t xml:space="preserve"> </w:t>
            </w:r>
            <w:r w:rsidR="00362B4A" w:rsidRPr="00C509A9">
              <w:rPr>
                <w:rFonts w:asciiTheme="minorHAnsi" w:hAnsiTheme="minorHAnsi" w:cstheme="minorHAnsi"/>
                <w:sz w:val="22"/>
              </w:rPr>
              <w:t xml:space="preserve">przeniesienie do projektu technicznego (z alternatywnym wariantem braku konieczność jej wykonania) lub całkowitą likwidację </w:t>
            </w:r>
            <w:r w:rsidR="00AD2D5E" w:rsidRPr="00C509A9">
              <w:rPr>
                <w:rFonts w:asciiTheme="minorHAnsi" w:hAnsiTheme="minorHAnsi" w:cstheme="minorHAnsi"/>
                <w:sz w:val="22"/>
              </w:rPr>
              <w:t xml:space="preserve">- </w:t>
            </w:r>
            <w:r w:rsidR="00362B4A" w:rsidRPr="00C509A9">
              <w:rPr>
                <w:rFonts w:asciiTheme="minorHAnsi" w:hAnsiTheme="minorHAnsi" w:cstheme="minorHAnsi"/>
                <w:sz w:val="22"/>
                <w:u w:val="single"/>
              </w:rPr>
              <w:t>analizy technicznych i ekonomicznych możliwości wykorzystania urządzeń, które automatycznie regulują temperaturę oddzielnie w poszczególnych pomieszczeniach lub w wyznaczonej strefie ogrzewanej</w:t>
            </w:r>
            <w:r w:rsidR="00362B4A" w:rsidRPr="00C509A9">
              <w:rPr>
                <w:rFonts w:asciiTheme="minorHAnsi" w:hAnsiTheme="minorHAnsi" w:cstheme="minorHAnsi"/>
                <w:sz w:val="22"/>
              </w:rPr>
              <w:t xml:space="preserve">. </w:t>
            </w:r>
          </w:p>
          <w:p w14:paraId="1848098D" w14:textId="0FCC15B4" w:rsidR="00362B4A" w:rsidRPr="00C509A9" w:rsidRDefault="00362B4A" w:rsidP="00C509A9">
            <w:pPr>
              <w:pStyle w:val="Akapitzlist"/>
              <w:shd w:val="clear" w:color="auto" w:fill="FFFFFF"/>
              <w:autoSpaceDE w:val="0"/>
              <w:autoSpaceDN w:val="0"/>
              <w:adjustRightInd w:val="0"/>
              <w:spacing w:before="0"/>
              <w:ind w:left="0"/>
              <w:jc w:val="left"/>
              <w:rPr>
                <w:rFonts w:asciiTheme="minorHAnsi" w:hAnsiTheme="minorHAnsi" w:cstheme="minorHAnsi"/>
                <w:sz w:val="22"/>
              </w:rPr>
            </w:pPr>
            <w:r w:rsidRPr="00C509A9">
              <w:rPr>
                <w:rFonts w:asciiTheme="minorHAnsi" w:hAnsiTheme="minorHAnsi" w:cstheme="minorHAnsi"/>
                <w:sz w:val="22"/>
              </w:rPr>
              <w:t xml:space="preserve">Przedmiotowa analiza pojawiła się w rozporządzeniu dopiero z chwilą jego opublikowania (nie podano przy jej wprowadzeniu żadnego uzasadnienia, propozycja tego przepisu nie pojawiła się na żadnym etapie konsultacji), przepisy nie określają wzoru czy formy przedstawienia ww. analizy ani jednoznacznie nie przesadzają, kto jest uprawniony do jej wykonania. Brak jest też spójności pomiędzy ww. przepisami a regulacjami zawartymi w zmianach do rozporządzenia w sprawie warunków technicznych jakim powinny odpowiadać budynki i ich usytuowanie wprowadzonych w § 135 ust. 7–10, gdzie po pierwsze jest mowa </w:t>
            </w:r>
            <w:r w:rsidRPr="00C509A9">
              <w:rPr>
                <w:rFonts w:asciiTheme="minorHAnsi" w:hAnsiTheme="minorHAnsi" w:cstheme="minorHAnsi"/>
                <w:b/>
                <w:bCs/>
                <w:sz w:val="22"/>
                <w:u w:val="single"/>
              </w:rPr>
              <w:t>nie o analizie</w:t>
            </w:r>
            <w:r w:rsidRPr="00C509A9">
              <w:rPr>
                <w:rFonts w:asciiTheme="minorHAnsi" w:hAnsiTheme="minorHAnsi" w:cstheme="minorHAnsi"/>
                <w:b/>
                <w:bCs/>
                <w:sz w:val="22"/>
              </w:rPr>
              <w:t xml:space="preserve"> </w:t>
            </w:r>
            <w:r w:rsidRPr="00C509A9">
              <w:rPr>
                <w:rFonts w:asciiTheme="minorHAnsi" w:hAnsiTheme="minorHAnsi" w:cstheme="minorHAnsi"/>
                <w:sz w:val="22"/>
              </w:rPr>
              <w:t xml:space="preserve">a tylko o </w:t>
            </w:r>
            <w:r w:rsidRPr="00C509A9">
              <w:rPr>
                <w:rFonts w:asciiTheme="minorHAnsi" w:hAnsiTheme="minorHAnsi" w:cstheme="minorHAnsi"/>
                <w:b/>
                <w:bCs/>
                <w:sz w:val="22"/>
                <w:u w:val="single"/>
              </w:rPr>
              <w:t>opinii</w:t>
            </w:r>
            <w:r w:rsidRPr="00C509A9">
              <w:rPr>
                <w:rFonts w:asciiTheme="minorHAnsi" w:hAnsiTheme="minorHAnsi" w:cstheme="minorHAnsi"/>
                <w:b/>
                <w:bCs/>
                <w:sz w:val="22"/>
              </w:rPr>
              <w:t xml:space="preserve"> </w:t>
            </w:r>
            <w:r w:rsidRPr="00C509A9">
              <w:rPr>
                <w:rFonts w:asciiTheme="minorHAnsi" w:hAnsiTheme="minorHAnsi" w:cstheme="minorHAnsi"/>
                <w:sz w:val="22"/>
              </w:rPr>
              <w:t xml:space="preserve">dot. możliwości realizacji z technicznego punktu widzenia… oraz o porównaniu </w:t>
            </w:r>
            <w:r w:rsidRPr="00C509A9">
              <w:rPr>
                <w:rFonts w:asciiTheme="minorHAnsi" w:hAnsiTheme="minorHAnsi" w:cstheme="minorHAnsi"/>
                <w:sz w:val="22"/>
              </w:rPr>
              <w:lastRenderedPageBreak/>
              <w:t>początkowych kosztów instalacji urządzenia…, a po drugie opinia i porównanie kosztów zgodnie z § 135 ust. 9 odnosi się do wykorzystania urządzeń regulujących temperaturę tylko „oddzielnie w poszczególnych pomieszczeniach”, tymczasem w ww. przepisie rozporządzenia, konieczność wykonania analizy odnosi się również dla wariantu stosowania regulacji temperatury „w całej strefie ogrzewanej” (dla której brak jest wymogu sporządzania opinii i porównywania kosztów).</w:t>
            </w:r>
          </w:p>
          <w:p w14:paraId="5570FF9B" w14:textId="7C6CB01D" w:rsidR="00362B4A" w:rsidRPr="00C509A9" w:rsidRDefault="00362B4A" w:rsidP="00C509A9">
            <w:pPr>
              <w:autoSpaceDE w:val="0"/>
              <w:autoSpaceDN w:val="0"/>
              <w:adjustRightInd w:val="0"/>
              <w:rPr>
                <w:rFonts w:asciiTheme="minorHAnsi" w:hAnsiTheme="minorHAnsi" w:cstheme="minorHAnsi"/>
                <w:sz w:val="22"/>
              </w:rPr>
            </w:pPr>
            <w:r w:rsidRPr="00C509A9">
              <w:rPr>
                <w:rFonts w:asciiTheme="minorHAnsi" w:hAnsiTheme="minorHAnsi" w:cstheme="minorHAnsi"/>
                <w:sz w:val="22"/>
              </w:rPr>
              <w:t xml:space="preserve">Wymóg opracowania i zamieszczenia tej analizy </w:t>
            </w:r>
            <w:r w:rsidRPr="00C509A9">
              <w:rPr>
                <w:rFonts w:asciiTheme="minorHAnsi" w:hAnsiTheme="minorHAnsi" w:cstheme="minorHAnsi"/>
                <w:b/>
                <w:bCs/>
                <w:sz w:val="22"/>
                <w:u w:val="single"/>
              </w:rPr>
              <w:t>nie powinien obowiązywać</w:t>
            </w:r>
            <w:r w:rsidRPr="00C509A9">
              <w:rPr>
                <w:rFonts w:asciiTheme="minorHAnsi" w:hAnsiTheme="minorHAnsi" w:cstheme="minorHAnsi"/>
                <w:sz w:val="22"/>
                <w:u w:val="single"/>
              </w:rPr>
              <w:t xml:space="preserve"> </w:t>
            </w:r>
            <w:r w:rsidRPr="00C509A9">
              <w:rPr>
                <w:rFonts w:asciiTheme="minorHAnsi" w:hAnsiTheme="minorHAnsi" w:cstheme="minorHAnsi"/>
                <w:sz w:val="22"/>
              </w:rPr>
              <w:t>w przypadku, gdy  w projekcie, w wyniku założeń i decyzji inwestora, zostaną zastosowane urządzenia, które automatycznie regulują temperaturę oddzielnie w poszczególnych pomieszczeniach lub w wyznaczonej strefie ogrzewanej. W sytuacji założenia spełnienia wymogu § 135 ust. 7 WT od razu, poprzez wybór inwestora, opracowywanie takiej analizy jest pozbawione sensu. Stosowanie urządzeń, które automatycznie regulują temperaturę oddzielnie w poszczególnych pomieszczeniach, jest od dawna standardem niemal we wszystkich projektowanych i realizowanych instalacjach ogrzewczych.</w:t>
            </w:r>
          </w:p>
        </w:tc>
        <w:tc>
          <w:tcPr>
            <w:tcW w:w="4252" w:type="dxa"/>
          </w:tcPr>
          <w:p w14:paraId="6B0AB1D3" w14:textId="77777777" w:rsidR="00362B4A" w:rsidRPr="00B5156D" w:rsidRDefault="00362B4A" w:rsidP="00B5156D">
            <w:pPr>
              <w:rPr>
                <w:sz w:val="16"/>
                <w:szCs w:val="16"/>
              </w:rPr>
            </w:pPr>
          </w:p>
        </w:tc>
      </w:tr>
      <w:tr w:rsidR="00AC0973" w:rsidRPr="000D3255" w14:paraId="065C9516" w14:textId="77777777" w:rsidTr="006F6234">
        <w:trPr>
          <w:trHeight w:val="1833"/>
        </w:trPr>
        <w:tc>
          <w:tcPr>
            <w:tcW w:w="556" w:type="dxa"/>
          </w:tcPr>
          <w:p w14:paraId="31272DEF" w14:textId="6F337230" w:rsidR="00AC0973" w:rsidRPr="00A159B3" w:rsidRDefault="00AC0973" w:rsidP="00B5156D">
            <w:pPr>
              <w:jc w:val="center"/>
              <w:rPr>
                <w:rFonts w:asciiTheme="minorHAnsi" w:hAnsiTheme="minorHAnsi" w:cstheme="minorHAnsi"/>
                <w:szCs w:val="24"/>
              </w:rPr>
            </w:pPr>
            <w:r>
              <w:rPr>
                <w:rFonts w:asciiTheme="minorHAnsi" w:hAnsiTheme="minorHAnsi" w:cstheme="minorHAnsi"/>
                <w:szCs w:val="24"/>
              </w:rPr>
              <w:t xml:space="preserve">4. </w:t>
            </w:r>
          </w:p>
        </w:tc>
        <w:tc>
          <w:tcPr>
            <w:tcW w:w="1424" w:type="dxa"/>
          </w:tcPr>
          <w:p w14:paraId="5327FC6F" w14:textId="22C40CE5" w:rsidR="00AC0973" w:rsidRPr="00362B4A" w:rsidRDefault="00AC0973" w:rsidP="00AC0973">
            <w:pPr>
              <w:jc w:val="center"/>
              <w:rPr>
                <w:rFonts w:asciiTheme="minorHAnsi" w:hAnsiTheme="minorHAnsi" w:cstheme="minorHAnsi"/>
                <w:sz w:val="22"/>
              </w:rPr>
            </w:pPr>
            <w:r w:rsidRPr="00AD2D5E">
              <w:rPr>
                <w:rFonts w:asciiTheme="minorHAnsi" w:hAnsiTheme="minorHAnsi" w:cstheme="minorHAnsi"/>
                <w:b/>
                <w:bCs/>
                <w:sz w:val="22"/>
              </w:rPr>
              <w:t>§</w:t>
            </w:r>
            <w:r>
              <w:rPr>
                <w:rFonts w:asciiTheme="minorHAnsi" w:hAnsiTheme="minorHAnsi" w:cstheme="minorHAnsi"/>
                <w:b/>
                <w:bCs/>
                <w:sz w:val="22"/>
              </w:rPr>
              <w:t xml:space="preserve"> 2</w:t>
            </w:r>
            <w:r w:rsidRPr="00AD2D5E">
              <w:rPr>
                <w:rFonts w:asciiTheme="minorHAnsi" w:hAnsiTheme="minorHAnsi" w:cstheme="minorHAnsi"/>
                <w:b/>
                <w:bCs/>
                <w:sz w:val="22"/>
              </w:rPr>
              <w:t> </w:t>
            </w:r>
            <w:r w:rsidRPr="00362B4A">
              <w:rPr>
                <w:rFonts w:asciiTheme="minorHAnsi" w:hAnsiTheme="minorHAnsi" w:cstheme="minorHAnsi"/>
                <w:sz w:val="22"/>
              </w:rPr>
              <w:t>projektu zmiany rozporządzenia</w:t>
            </w:r>
          </w:p>
          <w:p w14:paraId="4719F14E" w14:textId="2C9BAE22" w:rsidR="00AC0973" w:rsidRDefault="00AC0973" w:rsidP="00AC0973">
            <w:pPr>
              <w:jc w:val="center"/>
              <w:rPr>
                <w:rFonts w:asciiTheme="minorHAnsi" w:hAnsiTheme="minorHAnsi" w:cstheme="minorHAnsi"/>
                <w:sz w:val="22"/>
              </w:rPr>
            </w:pPr>
          </w:p>
        </w:tc>
        <w:tc>
          <w:tcPr>
            <w:tcW w:w="1843" w:type="dxa"/>
          </w:tcPr>
          <w:p w14:paraId="494B221D" w14:textId="16F998C6" w:rsidR="00AC0973" w:rsidRPr="00362B4A" w:rsidRDefault="00AC0973" w:rsidP="00B5156D">
            <w:pPr>
              <w:jc w:val="center"/>
              <w:rPr>
                <w:rFonts w:asciiTheme="minorHAnsi" w:hAnsiTheme="minorHAnsi" w:cstheme="minorHAnsi"/>
                <w:b/>
                <w:bCs/>
                <w:szCs w:val="24"/>
              </w:rPr>
            </w:pPr>
            <w:r w:rsidRPr="00362B4A">
              <w:rPr>
                <w:rFonts w:asciiTheme="minorHAnsi" w:hAnsiTheme="minorHAnsi" w:cstheme="minorHAnsi"/>
                <w:b/>
                <w:bCs/>
                <w:szCs w:val="24"/>
              </w:rPr>
              <w:t>IARP</w:t>
            </w:r>
          </w:p>
        </w:tc>
        <w:tc>
          <w:tcPr>
            <w:tcW w:w="6237" w:type="dxa"/>
          </w:tcPr>
          <w:p w14:paraId="23B095DF" w14:textId="67EE61E1" w:rsidR="00AC0973" w:rsidRPr="00C509A9" w:rsidRDefault="00AC0973" w:rsidP="00AC0973">
            <w:pPr>
              <w:pStyle w:val="ARTartustawynprozporzdzenia"/>
              <w:spacing w:line="240" w:lineRule="auto"/>
              <w:ind w:firstLine="0"/>
              <w:rPr>
                <w:rFonts w:asciiTheme="minorHAnsi" w:hAnsiTheme="minorHAnsi" w:cstheme="minorHAnsi"/>
                <w:sz w:val="22"/>
                <w:szCs w:val="22"/>
              </w:rPr>
            </w:pPr>
            <w:r w:rsidRPr="00C509A9">
              <w:rPr>
                <w:rStyle w:val="Ppogrubienie"/>
                <w:rFonts w:asciiTheme="minorHAnsi" w:hAnsiTheme="minorHAnsi" w:cstheme="minorHAnsi"/>
                <w:sz w:val="22"/>
                <w:szCs w:val="22"/>
              </w:rPr>
              <w:t>„§ 2.</w:t>
            </w:r>
            <w:r w:rsidRPr="00C509A9">
              <w:rPr>
                <w:rFonts w:asciiTheme="minorHAnsi" w:hAnsiTheme="minorHAnsi" w:cstheme="minorHAnsi"/>
                <w:sz w:val="22"/>
                <w:szCs w:val="22"/>
              </w:rPr>
              <w:t xml:space="preserve"> Do projektów budowlanych w postaci papierowej, dla których projektant złożył przed dniem wejścia w życie niniejszego rozporządzenia oświadczenie o sporządzeniu projektu zgodnie z obowiązującymi przepisami i zasadami wiedzy technicznej, stosuje się przepisy dotychczasowe.”</w:t>
            </w:r>
          </w:p>
          <w:p w14:paraId="3F2DEC19" w14:textId="19E51294" w:rsidR="00AC0973" w:rsidRPr="00C509A9" w:rsidRDefault="00AC0973" w:rsidP="00AC0973">
            <w:pPr>
              <w:pStyle w:val="ARTartustawynprozporzdzenia"/>
              <w:spacing w:line="240" w:lineRule="auto"/>
              <w:ind w:firstLine="0"/>
              <w:rPr>
                <w:rFonts w:asciiTheme="minorHAnsi" w:hAnsiTheme="minorHAnsi" w:cstheme="minorHAnsi"/>
                <w:sz w:val="22"/>
                <w:szCs w:val="22"/>
              </w:rPr>
            </w:pPr>
            <w:r w:rsidRPr="00C509A9">
              <w:rPr>
                <w:rFonts w:asciiTheme="minorHAnsi" w:hAnsiTheme="minorHAnsi" w:cstheme="minorHAnsi"/>
                <w:sz w:val="22"/>
                <w:szCs w:val="22"/>
              </w:rPr>
              <w:t xml:space="preserve">Taka redakcja przepisu przejściowego w wypadku poprawy nieprawidłowości w projekcie i konieczności powtórnego złożenia oświadczenia o sporządzeniu projektu zgodnie z przepisami…  spowoduje konieczność dostosowania formy </w:t>
            </w:r>
            <w:r w:rsidR="006B56F1" w:rsidRPr="00C509A9">
              <w:rPr>
                <w:rFonts w:asciiTheme="minorHAnsi" w:hAnsiTheme="minorHAnsi" w:cstheme="minorHAnsi"/>
                <w:sz w:val="22"/>
                <w:szCs w:val="22"/>
              </w:rPr>
              <w:t xml:space="preserve">całego </w:t>
            </w:r>
            <w:r w:rsidRPr="00C509A9">
              <w:rPr>
                <w:rFonts w:asciiTheme="minorHAnsi" w:hAnsiTheme="minorHAnsi" w:cstheme="minorHAnsi"/>
                <w:sz w:val="22"/>
                <w:szCs w:val="22"/>
              </w:rPr>
              <w:t>projektu budowlanego do</w:t>
            </w:r>
            <w:r w:rsidR="00AF5978" w:rsidRPr="00C509A9">
              <w:rPr>
                <w:rFonts w:asciiTheme="minorHAnsi" w:hAnsiTheme="minorHAnsi" w:cstheme="minorHAnsi"/>
                <w:sz w:val="22"/>
                <w:szCs w:val="22"/>
              </w:rPr>
              <w:t xml:space="preserve"> wymogów</w:t>
            </w:r>
            <w:r w:rsidRPr="00C509A9">
              <w:rPr>
                <w:rFonts w:asciiTheme="minorHAnsi" w:hAnsiTheme="minorHAnsi" w:cstheme="minorHAnsi"/>
                <w:sz w:val="22"/>
                <w:szCs w:val="22"/>
              </w:rPr>
              <w:t xml:space="preserve"> rozporządzenia w zmienionej formie. Jest to </w:t>
            </w:r>
            <w:r w:rsidR="006B56F1" w:rsidRPr="00C509A9">
              <w:rPr>
                <w:rFonts w:asciiTheme="minorHAnsi" w:hAnsiTheme="minorHAnsi" w:cstheme="minorHAnsi"/>
                <w:sz w:val="22"/>
                <w:szCs w:val="22"/>
              </w:rPr>
              <w:t>regulacja</w:t>
            </w:r>
            <w:r w:rsidRPr="00C509A9">
              <w:rPr>
                <w:rFonts w:asciiTheme="minorHAnsi" w:hAnsiTheme="minorHAnsi" w:cstheme="minorHAnsi"/>
                <w:sz w:val="22"/>
                <w:szCs w:val="22"/>
              </w:rPr>
              <w:t>, któr</w:t>
            </w:r>
            <w:r w:rsidR="006B56F1" w:rsidRPr="00C509A9">
              <w:rPr>
                <w:rFonts w:asciiTheme="minorHAnsi" w:hAnsiTheme="minorHAnsi" w:cstheme="minorHAnsi"/>
                <w:sz w:val="22"/>
                <w:szCs w:val="22"/>
              </w:rPr>
              <w:t>a może doprowadzić</w:t>
            </w:r>
            <w:r w:rsidRPr="00C509A9">
              <w:rPr>
                <w:rFonts w:asciiTheme="minorHAnsi" w:hAnsiTheme="minorHAnsi" w:cstheme="minorHAnsi"/>
                <w:sz w:val="22"/>
                <w:szCs w:val="22"/>
              </w:rPr>
              <w:t xml:space="preserve"> </w:t>
            </w:r>
            <w:r w:rsidR="006B56F1" w:rsidRPr="00C509A9">
              <w:rPr>
                <w:rFonts w:asciiTheme="minorHAnsi" w:hAnsiTheme="minorHAnsi" w:cstheme="minorHAnsi"/>
                <w:sz w:val="22"/>
                <w:szCs w:val="22"/>
              </w:rPr>
              <w:t xml:space="preserve">do </w:t>
            </w:r>
            <w:r w:rsidR="00AF5978" w:rsidRPr="00C509A9">
              <w:rPr>
                <w:rFonts w:asciiTheme="minorHAnsi" w:hAnsiTheme="minorHAnsi" w:cstheme="minorHAnsi"/>
                <w:sz w:val="22"/>
                <w:szCs w:val="22"/>
              </w:rPr>
              <w:t xml:space="preserve">niespotykanej </w:t>
            </w:r>
            <w:r w:rsidR="006B56F1" w:rsidRPr="00C509A9">
              <w:rPr>
                <w:rFonts w:asciiTheme="minorHAnsi" w:hAnsiTheme="minorHAnsi" w:cstheme="minorHAnsi"/>
                <w:sz w:val="22"/>
                <w:szCs w:val="22"/>
              </w:rPr>
              <w:t xml:space="preserve">sytuacji, w </w:t>
            </w:r>
            <w:r w:rsidRPr="00C509A9">
              <w:rPr>
                <w:rFonts w:asciiTheme="minorHAnsi" w:hAnsiTheme="minorHAnsi" w:cstheme="minorHAnsi"/>
                <w:sz w:val="22"/>
                <w:szCs w:val="22"/>
              </w:rPr>
              <w:t>której w trakcie prowadzonego postępowania może</w:t>
            </w:r>
            <w:r w:rsidR="006B56F1" w:rsidRPr="00C509A9">
              <w:rPr>
                <w:rFonts w:asciiTheme="minorHAnsi" w:hAnsiTheme="minorHAnsi" w:cstheme="minorHAnsi"/>
                <w:sz w:val="22"/>
                <w:szCs w:val="22"/>
              </w:rPr>
              <w:t xml:space="preserve"> wystąpić</w:t>
            </w:r>
            <w:r w:rsidRPr="00C509A9">
              <w:rPr>
                <w:rFonts w:asciiTheme="minorHAnsi" w:hAnsiTheme="minorHAnsi" w:cstheme="minorHAnsi"/>
                <w:sz w:val="22"/>
                <w:szCs w:val="22"/>
              </w:rPr>
              <w:t xml:space="preserve"> konieczność zmiany formy całego projektu.</w:t>
            </w:r>
            <w:r w:rsidR="00AF5978" w:rsidRPr="00C509A9">
              <w:rPr>
                <w:rFonts w:asciiTheme="minorHAnsi" w:hAnsiTheme="minorHAnsi" w:cstheme="minorHAnsi"/>
                <w:sz w:val="22"/>
                <w:szCs w:val="22"/>
              </w:rPr>
              <w:t xml:space="preserve"> </w:t>
            </w:r>
          </w:p>
          <w:p w14:paraId="62689823" w14:textId="75EB24C7" w:rsidR="00AC0973" w:rsidRPr="006F6234" w:rsidRDefault="00AF5978" w:rsidP="006F6234">
            <w:pPr>
              <w:pStyle w:val="ARTartustawynprozporzdzenia"/>
              <w:spacing w:line="240" w:lineRule="auto"/>
              <w:ind w:firstLine="0"/>
              <w:rPr>
                <w:rFonts w:asciiTheme="minorHAnsi" w:hAnsiTheme="minorHAnsi" w:cstheme="minorHAnsi"/>
                <w:sz w:val="22"/>
                <w:szCs w:val="22"/>
              </w:rPr>
            </w:pPr>
            <w:r w:rsidRPr="00C509A9">
              <w:rPr>
                <w:rFonts w:asciiTheme="minorHAnsi" w:hAnsiTheme="minorHAnsi" w:cstheme="minorHAnsi"/>
                <w:sz w:val="22"/>
                <w:szCs w:val="22"/>
              </w:rPr>
              <w:lastRenderedPageBreak/>
              <w:t>Wydaje się, że lepszym rozwiązaniem dla przepisu przejściowego regulującego kwestię już opracowanych projektów, będzie odwołanie się do projektu złożonego wraz z wnioskiem o pozwolenie na budowę lub zgłoszeniem</w:t>
            </w:r>
            <w:r w:rsidR="00982BB4" w:rsidRPr="00C509A9">
              <w:rPr>
                <w:rFonts w:asciiTheme="minorHAnsi" w:hAnsiTheme="minorHAnsi" w:cstheme="minorHAnsi"/>
                <w:sz w:val="22"/>
                <w:szCs w:val="22"/>
              </w:rPr>
              <w:t xml:space="preserve"> z uwzględnieniem możliwość opracowania projektu technicznego w formie </w:t>
            </w:r>
            <w:r w:rsidR="009E01D9" w:rsidRPr="00C509A9">
              <w:rPr>
                <w:rFonts w:asciiTheme="minorHAnsi" w:hAnsiTheme="minorHAnsi" w:cstheme="minorHAnsi"/>
                <w:sz w:val="22"/>
                <w:szCs w:val="22"/>
              </w:rPr>
              <w:t>jak dla przepisów obowiązujących w dacie złożenia wniosku lub zgłoszenia.</w:t>
            </w:r>
          </w:p>
        </w:tc>
        <w:tc>
          <w:tcPr>
            <w:tcW w:w="4252" w:type="dxa"/>
          </w:tcPr>
          <w:p w14:paraId="61A15C3E" w14:textId="77777777" w:rsidR="00AC0973" w:rsidRPr="00B5156D" w:rsidRDefault="00AC0973" w:rsidP="00B5156D">
            <w:pPr>
              <w:rPr>
                <w:sz w:val="16"/>
                <w:szCs w:val="16"/>
              </w:rPr>
            </w:pPr>
          </w:p>
        </w:tc>
      </w:tr>
    </w:tbl>
    <w:p w14:paraId="11FD968C" w14:textId="2AD5FFC0" w:rsidR="00B363EE" w:rsidRDefault="00B363EE" w:rsidP="00A67170">
      <w:pPr>
        <w:rPr>
          <w:sz w:val="20"/>
          <w:szCs w:val="20"/>
        </w:rPr>
      </w:pPr>
    </w:p>
    <w:sectPr w:rsidR="00B363EE" w:rsidSect="0057606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79D0"/>
    <w:multiLevelType w:val="multilevel"/>
    <w:tmpl w:val="4F7A6790"/>
    <w:styleLink w:val="Styl1"/>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none"/>
      <w:lvlText w:val="-"/>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4FD6158"/>
    <w:multiLevelType w:val="multilevel"/>
    <w:tmpl w:val="E6A26C54"/>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3A562EB5"/>
    <w:multiLevelType w:val="hybridMultilevel"/>
    <w:tmpl w:val="98BCF9D4"/>
    <w:lvl w:ilvl="0" w:tplc="69F691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7B55BBB"/>
    <w:multiLevelType w:val="multilevel"/>
    <w:tmpl w:val="9B22E3C2"/>
    <w:lvl w:ilvl="0">
      <w:start w:val="1"/>
      <w:numFmt w:val="decimal"/>
      <w:pStyle w:val="Nagwek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C9260D4"/>
    <w:multiLevelType w:val="hybridMultilevel"/>
    <w:tmpl w:val="CD943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85771F8"/>
    <w:multiLevelType w:val="hybridMultilevel"/>
    <w:tmpl w:val="286654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95E"/>
    <w:rsid w:val="000000B1"/>
    <w:rsid w:val="000119CD"/>
    <w:rsid w:val="000256D1"/>
    <w:rsid w:val="000831B8"/>
    <w:rsid w:val="000863C1"/>
    <w:rsid w:val="000B5D3B"/>
    <w:rsid w:val="000D1068"/>
    <w:rsid w:val="000D3255"/>
    <w:rsid w:val="000E0BBF"/>
    <w:rsid w:val="000F271B"/>
    <w:rsid w:val="0012084B"/>
    <w:rsid w:val="00127DC0"/>
    <w:rsid w:val="00145DE8"/>
    <w:rsid w:val="00170926"/>
    <w:rsid w:val="001728C2"/>
    <w:rsid w:val="001E2AE9"/>
    <w:rsid w:val="001E6782"/>
    <w:rsid w:val="00205E47"/>
    <w:rsid w:val="002243F2"/>
    <w:rsid w:val="0025007F"/>
    <w:rsid w:val="002564E6"/>
    <w:rsid w:val="00273D3B"/>
    <w:rsid w:val="00282DEE"/>
    <w:rsid w:val="002D33F6"/>
    <w:rsid w:val="002D77AF"/>
    <w:rsid w:val="002E589F"/>
    <w:rsid w:val="002E7614"/>
    <w:rsid w:val="00306F23"/>
    <w:rsid w:val="003137D3"/>
    <w:rsid w:val="00321848"/>
    <w:rsid w:val="00321DF7"/>
    <w:rsid w:val="00323B3F"/>
    <w:rsid w:val="00355985"/>
    <w:rsid w:val="00360690"/>
    <w:rsid w:val="00362B4A"/>
    <w:rsid w:val="00365B38"/>
    <w:rsid w:val="00373532"/>
    <w:rsid w:val="00374453"/>
    <w:rsid w:val="003A45B7"/>
    <w:rsid w:val="00414E36"/>
    <w:rsid w:val="004157CD"/>
    <w:rsid w:val="00475023"/>
    <w:rsid w:val="00485C31"/>
    <w:rsid w:val="0049363F"/>
    <w:rsid w:val="00495C48"/>
    <w:rsid w:val="004A0227"/>
    <w:rsid w:val="004A3B22"/>
    <w:rsid w:val="004B2BB6"/>
    <w:rsid w:val="004C0B0A"/>
    <w:rsid w:val="004C60D8"/>
    <w:rsid w:val="004E2921"/>
    <w:rsid w:val="00510514"/>
    <w:rsid w:val="00512397"/>
    <w:rsid w:val="00557317"/>
    <w:rsid w:val="0057606A"/>
    <w:rsid w:val="005A1BAF"/>
    <w:rsid w:val="005F526E"/>
    <w:rsid w:val="00627801"/>
    <w:rsid w:val="00652A97"/>
    <w:rsid w:val="00657516"/>
    <w:rsid w:val="00661EB3"/>
    <w:rsid w:val="0066346E"/>
    <w:rsid w:val="00672245"/>
    <w:rsid w:val="00696F71"/>
    <w:rsid w:val="006A212C"/>
    <w:rsid w:val="006B56F1"/>
    <w:rsid w:val="006E36C2"/>
    <w:rsid w:val="006E5B89"/>
    <w:rsid w:val="006F36D1"/>
    <w:rsid w:val="006F6234"/>
    <w:rsid w:val="00707155"/>
    <w:rsid w:val="00710798"/>
    <w:rsid w:val="007223F4"/>
    <w:rsid w:val="007224FA"/>
    <w:rsid w:val="00725895"/>
    <w:rsid w:val="00760CBF"/>
    <w:rsid w:val="00787146"/>
    <w:rsid w:val="0079624B"/>
    <w:rsid w:val="007B074E"/>
    <w:rsid w:val="007F3ED8"/>
    <w:rsid w:val="007F42CA"/>
    <w:rsid w:val="00823C7A"/>
    <w:rsid w:val="00853A3C"/>
    <w:rsid w:val="00873580"/>
    <w:rsid w:val="00874A50"/>
    <w:rsid w:val="008A36C9"/>
    <w:rsid w:val="008B188A"/>
    <w:rsid w:val="008E36C0"/>
    <w:rsid w:val="008F7446"/>
    <w:rsid w:val="00932D03"/>
    <w:rsid w:val="009351FD"/>
    <w:rsid w:val="009363CC"/>
    <w:rsid w:val="00942060"/>
    <w:rsid w:val="009604E7"/>
    <w:rsid w:val="00982BB4"/>
    <w:rsid w:val="009904A7"/>
    <w:rsid w:val="00992573"/>
    <w:rsid w:val="009B025B"/>
    <w:rsid w:val="009C34C0"/>
    <w:rsid w:val="009C67D8"/>
    <w:rsid w:val="009E01D9"/>
    <w:rsid w:val="00A06F44"/>
    <w:rsid w:val="00A159B3"/>
    <w:rsid w:val="00A4615F"/>
    <w:rsid w:val="00A5195E"/>
    <w:rsid w:val="00A57109"/>
    <w:rsid w:val="00A67170"/>
    <w:rsid w:val="00A97924"/>
    <w:rsid w:val="00AA0E7B"/>
    <w:rsid w:val="00AA4396"/>
    <w:rsid w:val="00AC0973"/>
    <w:rsid w:val="00AD2D5E"/>
    <w:rsid w:val="00AD5D79"/>
    <w:rsid w:val="00AE21A7"/>
    <w:rsid w:val="00AE709F"/>
    <w:rsid w:val="00AF5978"/>
    <w:rsid w:val="00B02F24"/>
    <w:rsid w:val="00B11448"/>
    <w:rsid w:val="00B13650"/>
    <w:rsid w:val="00B363EE"/>
    <w:rsid w:val="00B50A61"/>
    <w:rsid w:val="00B50F8F"/>
    <w:rsid w:val="00B5156D"/>
    <w:rsid w:val="00B7090E"/>
    <w:rsid w:val="00BB47BD"/>
    <w:rsid w:val="00BC0195"/>
    <w:rsid w:val="00C44B58"/>
    <w:rsid w:val="00C509A9"/>
    <w:rsid w:val="00C82154"/>
    <w:rsid w:val="00C951CE"/>
    <w:rsid w:val="00C95692"/>
    <w:rsid w:val="00CD378B"/>
    <w:rsid w:val="00CE238E"/>
    <w:rsid w:val="00CE2C63"/>
    <w:rsid w:val="00CF025B"/>
    <w:rsid w:val="00D02976"/>
    <w:rsid w:val="00D05A9F"/>
    <w:rsid w:val="00D14577"/>
    <w:rsid w:val="00D2408B"/>
    <w:rsid w:val="00D66148"/>
    <w:rsid w:val="00D92968"/>
    <w:rsid w:val="00D92C6D"/>
    <w:rsid w:val="00D934CF"/>
    <w:rsid w:val="00DA159F"/>
    <w:rsid w:val="00DB0383"/>
    <w:rsid w:val="00DB1604"/>
    <w:rsid w:val="00DB77E2"/>
    <w:rsid w:val="00DB7B7F"/>
    <w:rsid w:val="00DC12FF"/>
    <w:rsid w:val="00DD46C8"/>
    <w:rsid w:val="00DD6F2A"/>
    <w:rsid w:val="00E04585"/>
    <w:rsid w:val="00E13256"/>
    <w:rsid w:val="00E14EF5"/>
    <w:rsid w:val="00E17F5E"/>
    <w:rsid w:val="00E268AD"/>
    <w:rsid w:val="00E31D5E"/>
    <w:rsid w:val="00E35133"/>
    <w:rsid w:val="00E46E49"/>
    <w:rsid w:val="00E960B5"/>
    <w:rsid w:val="00EA2C82"/>
    <w:rsid w:val="00EB09E2"/>
    <w:rsid w:val="00EB45BE"/>
    <w:rsid w:val="00EB49D5"/>
    <w:rsid w:val="00EB5E69"/>
    <w:rsid w:val="00EC1816"/>
    <w:rsid w:val="00ED0005"/>
    <w:rsid w:val="00EF6FAE"/>
    <w:rsid w:val="00F0090C"/>
    <w:rsid w:val="00F04A92"/>
    <w:rsid w:val="00F17219"/>
    <w:rsid w:val="00F95D92"/>
    <w:rsid w:val="00FA65AA"/>
    <w:rsid w:val="00FB1B1C"/>
    <w:rsid w:val="00FB49B0"/>
    <w:rsid w:val="00FB4B20"/>
    <w:rsid w:val="00FB5A2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00B1"/>
  <w15:chartTrackingRefBased/>
  <w15:docId w15:val="{BF37B267-9177-40CE-80D4-96E77AB3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36D1"/>
    <w:pPr>
      <w:spacing w:before="120" w:after="0" w:line="240" w:lineRule="auto"/>
      <w:jc w:val="both"/>
    </w:pPr>
    <w:rPr>
      <w:rFonts w:ascii="Arial" w:hAnsi="Arial"/>
      <w:sz w:val="24"/>
    </w:rPr>
  </w:style>
  <w:style w:type="paragraph" w:styleId="Nagwek3">
    <w:name w:val="heading 3"/>
    <w:basedOn w:val="Normalny"/>
    <w:link w:val="Nagwek3Znak"/>
    <w:autoRedefine/>
    <w:uiPriority w:val="9"/>
    <w:qFormat/>
    <w:rsid w:val="00D05A9F"/>
    <w:pPr>
      <w:numPr>
        <w:numId w:val="2"/>
      </w:numPr>
      <w:ind w:left="284" w:hanging="284"/>
      <w:outlineLvl w:val="2"/>
    </w:pPr>
    <w:rPr>
      <w:rFonts w:eastAsia="Times New Roman" w:cs="Times New Roman"/>
      <w:b/>
      <w:bCs/>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05A9F"/>
    <w:rPr>
      <w:rFonts w:ascii="Arial" w:eastAsia="Times New Roman" w:hAnsi="Arial" w:cs="Times New Roman"/>
      <w:b/>
      <w:bCs/>
      <w:sz w:val="24"/>
      <w:szCs w:val="27"/>
      <w:lang w:eastAsia="pl-PL"/>
    </w:rPr>
  </w:style>
  <w:style w:type="numbering" w:customStyle="1" w:styleId="Styl1">
    <w:name w:val="Styl1"/>
    <w:uiPriority w:val="99"/>
    <w:rsid w:val="004A0227"/>
    <w:pPr>
      <w:numPr>
        <w:numId w:val="3"/>
      </w:numPr>
    </w:pPr>
  </w:style>
  <w:style w:type="table" w:styleId="Tabela-Siatka">
    <w:name w:val="Table Grid"/>
    <w:basedOn w:val="Standardowy"/>
    <w:uiPriority w:val="39"/>
    <w:rsid w:val="00A51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14EF5"/>
    <w:pPr>
      <w:ind w:left="720"/>
      <w:contextualSpacing/>
    </w:pPr>
  </w:style>
  <w:style w:type="paragraph" w:customStyle="1" w:styleId="Default">
    <w:name w:val="Default"/>
    <w:rsid w:val="00E960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Tartustawynprozporzdzenia">
    <w:name w:val="ART(§) – art. ustawy (§ np. rozporządzenia)"/>
    <w:uiPriority w:val="11"/>
    <w:qFormat/>
    <w:rsid w:val="00AC0973"/>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AC097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602">
      <w:bodyDiv w:val="1"/>
      <w:marLeft w:val="0"/>
      <w:marRight w:val="0"/>
      <w:marTop w:val="0"/>
      <w:marBottom w:val="0"/>
      <w:divBdr>
        <w:top w:val="none" w:sz="0" w:space="0" w:color="auto"/>
        <w:left w:val="none" w:sz="0" w:space="0" w:color="auto"/>
        <w:bottom w:val="none" w:sz="0" w:space="0" w:color="auto"/>
        <w:right w:val="none" w:sz="0" w:space="0" w:color="auto"/>
      </w:divBdr>
    </w:div>
    <w:div w:id="70086026">
      <w:bodyDiv w:val="1"/>
      <w:marLeft w:val="0"/>
      <w:marRight w:val="0"/>
      <w:marTop w:val="0"/>
      <w:marBottom w:val="0"/>
      <w:divBdr>
        <w:top w:val="none" w:sz="0" w:space="0" w:color="auto"/>
        <w:left w:val="none" w:sz="0" w:space="0" w:color="auto"/>
        <w:bottom w:val="none" w:sz="0" w:space="0" w:color="auto"/>
        <w:right w:val="none" w:sz="0" w:space="0" w:color="auto"/>
      </w:divBdr>
    </w:div>
    <w:div w:id="177700729">
      <w:bodyDiv w:val="1"/>
      <w:marLeft w:val="0"/>
      <w:marRight w:val="0"/>
      <w:marTop w:val="0"/>
      <w:marBottom w:val="0"/>
      <w:divBdr>
        <w:top w:val="none" w:sz="0" w:space="0" w:color="auto"/>
        <w:left w:val="none" w:sz="0" w:space="0" w:color="auto"/>
        <w:bottom w:val="none" w:sz="0" w:space="0" w:color="auto"/>
        <w:right w:val="none" w:sz="0" w:space="0" w:color="auto"/>
      </w:divBdr>
    </w:div>
    <w:div w:id="452871328">
      <w:bodyDiv w:val="1"/>
      <w:marLeft w:val="0"/>
      <w:marRight w:val="0"/>
      <w:marTop w:val="0"/>
      <w:marBottom w:val="0"/>
      <w:divBdr>
        <w:top w:val="none" w:sz="0" w:space="0" w:color="auto"/>
        <w:left w:val="none" w:sz="0" w:space="0" w:color="auto"/>
        <w:bottom w:val="none" w:sz="0" w:space="0" w:color="auto"/>
        <w:right w:val="none" w:sz="0" w:space="0" w:color="auto"/>
      </w:divBdr>
    </w:div>
    <w:div w:id="539247284">
      <w:bodyDiv w:val="1"/>
      <w:marLeft w:val="0"/>
      <w:marRight w:val="0"/>
      <w:marTop w:val="0"/>
      <w:marBottom w:val="0"/>
      <w:divBdr>
        <w:top w:val="none" w:sz="0" w:space="0" w:color="auto"/>
        <w:left w:val="none" w:sz="0" w:space="0" w:color="auto"/>
        <w:bottom w:val="none" w:sz="0" w:space="0" w:color="auto"/>
        <w:right w:val="none" w:sz="0" w:space="0" w:color="auto"/>
      </w:divBdr>
    </w:div>
    <w:div w:id="548028895">
      <w:bodyDiv w:val="1"/>
      <w:marLeft w:val="0"/>
      <w:marRight w:val="0"/>
      <w:marTop w:val="0"/>
      <w:marBottom w:val="0"/>
      <w:divBdr>
        <w:top w:val="none" w:sz="0" w:space="0" w:color="auto"/>
        <w:left w:val="none" w:sz="0" w:space="0" w:color="auto"/>
        <w:bottom w:val="none" w:sz="0" w:space="0" w:color="auto"/>
        <w:right w:val="none" w:sz="0" w:space="0" w:color="auto"/>
      </w:divBdr>
    </w:div>
    <w:div w:id="595947300">
      <w:bodyDiv w:val="1"/>
      <w:marLeft w:val="0"/>
      <w:marRight w:val="0"/>
      <w:marTop w:val="0"/>
      <w:marBottom w:val="0"/>
      <w:divBdr>
        <w:top w:val="none" w:sz="0" w:space="0" w:color="auto"/>
        <w:left w:val="none" w:sz="0" w:space="0" w:color="auto"/>
        <w:bottom w:val="none" w:sz="0" w:space="0" w:color="auto"/>
        <w:right w:val="none" w:sz="0" w:space="0" w:color="auto"/>
      </w:divBdr>
    </w:div>
    <w:div w:id="635992187">
      <w:bodyDiv w:val="1"/>
      <w:marLeft w:val="0"/>
      <w:marRight w:val="0"/>
      <w:marTop w:val="0"/>
      <w:marBottom w:val="0"/>
      <w:divBdr>
        <w:top w:val="none" w:sz="0" w:space="0" w:color="auto"/>
        <w:left w:val="none" w:sz="0" w:space="0" w:color="auto"/>
        <w:bottom w:val="none" w:sz="0" w:space="0" w:color="auto"/>
        <w:right w:val="none" w:sz="0" w:space="0" w:color="auto"/>
      </w:divBdr>
    </w:div>
    <w:div w:id="664935293">
      <w:bodyDiv w:val="1"/>
      <w:marLeft w:val="0"/>
      <w:marRight w:val="0"/>
      <w:marTop w:val="0"/>
      <w:marBottom w:val="0"/>
      <w:divBdr>
        <w:top w:val="none" w:sz="0" w:space="0" w:color="auto"/>
        <w:left w:val="none" w:sz="0" w:space="0" w:color="auto"/>
        <w:bottom w:val="none" w:sz="0" w:space="0" w:color="auto"/>
        <w:right w:val="none" w:sz="0" w:space="0" w:color="auto"/>
      </w:divBdr>
    </w:div>
    <w:div w:id="718165151">
      <w:bodyDiv w:val="1"/>
      <w:marLeft w:val="0"/>
      <w:marRight w:val="0"/>
      <w:marTop w:val="0"/>
      <w:marBottom w:val="0"/>
      <w:divBdr>
        <w:top w:val="none" w:sz="0" w:space="0" w:color="auto"/>
        <w:left w:val="none" w:sz="0" w:space="0" w:color="auto"/>
        <w:bottom w:val="none" w:sz="0" w:space="0" w:color="auto"/>
        <w:right w:val="none" w:sz="0" w:space="0" w:color="auto"/>
      </w:divBdr>
    </w:div>
    <w:div w:id="731663031">
      <w:bodyDiv w:val="1"/>
      <w:marLeft w:val="0"/>
      <w:marRight w:val="0"/>
      <w:marTop w:val="0"/>
      <w:marBottom w:val="0"/>
      <w:divBdr>
        <w:top w:val="none" w:sz="0" w:space="0" w:color="auto"/>
        <w:left w:val="none" w:sz="0" w:space="0" w:color="auto"/>
        <w:bottom w:val="none" w:sz="0" w:space="0" w:color="auto"/>
        <w:right w:val="none" w:sz="0" w:space="0" w:color="auto"/>
      </w:divBdr>
    </w:div>
    <w:div w:id="899558650">
      <w:bodyDiv w:val="1"/>
      <w:marLeft w:val="0"/>
      <w:marRight w:val="0"/>
      <w:marTop w:val="0"/>
      <w:marBottom w:val="0"/>
      <w:divBdr>
        <w:top w:val="none" w:sz="0" w:space="0" w:color="auto"/>
        <w:left w:val="none" w:sz="0" w:space="0" w:color="auto"/>
        <w:bottom w:val="none" w:sz="0" w:space="0" w:color="auto"/>
        <w:right w:val="none" w:sz="0" w:space="0" w:color="auto"/>
      </w:divBdr>
    </w:div>
    <w:div w:id="916595094">
      <w:bodyDiv w:val="1"/>
      <w:marLeft w:val="0"/>
      <w:marRight w:val="0"/>
      <w:marTop w:val="0"/>
      <w:marBottom w:val="0"/>
      <w:divBdr>
        <w:top w:val="none" w:sz="0" w:space="0" w:color="auto"/>
        <w:left w:val="none" w:sz="0" w:space="0" w:color="auto"/>
        <w:bottom w:val="none" w:sz="0" w:space="0" w:color="auto"/>
        <w:right w:val="none" w:sz="0" w:space="0" w:color="auto"/>
      </w:divBdr>
    </w:div>
    <w:div w:id="920528203">
      <w:bodyDiv w:val="1"/>
      <w:marLeft w:val="0"/>
      <w:marRight w:val="0"/>
      <w:marTop w:val="0"/>
      <w:marBottom w:val="0"/>
      <w:divBdr>
        <w:top w:val="none" w:sz="0" w:space="0" w:color="auto"/>
        <w:left w:val="none" w:sz="0" w:space="0" w:color="auto"/>
        <w:bottom w:val="none" w:sz="0" w:space="0" w:color="auto"/>
        <w:right w:val="none" w:sz="0" w:space="0" w:color="auto"/>
      </w:divBdr>
    </w:div>
    <w:div w:id="1004748273">
      <w:bodyDiv w:val="1"/>
      <w:marLeft w:val="0"/>
      <w:marRight w:val="0"/>
      <w:marTop w:val="0"/>
      <w:marBottom w:val="0"/>
      <w:divBdr>
        <w:top w:val="none" w:sz="0" w:space="0" w:color="auto"/>
        <w:left w:val="none" w:sz="0" w:space="0" w:color="auto"/>
        <w:bottom w:val="none" w:sz="0" w:space="0" w:color="auto"/>
        <w:right w:val="none" w:sz="0" w:space="0" w:color="auto"/>
      </w:divBdr>
    </w:div>
    <w:div w:id="1011643385">
      <w:bodyDiv w:val="1"/>
      <w:marLeft w:val="0"/>
      <w:marRight w:val="0"/>
      <w:marTop w:val="0"/>
      <w:marBottom w:val="0"/>
      <w:divBdr>
        <w:top w:val="none" w:sz="0" w:space="0" w:color="auto"/>
        <w:left w:val="none" w:sz="0" w:space="0" w:color="auto"/>
        <w:bottom w:val="none" w:sz="0" w:space="0" w:color="auto"/>
        <w:right w:val="none" w:sz="0" w:space="0" w:color="auto"/>
      </w:divBdr>
    </w:div>
    <w:div w:id="1093940876">
      <w:bodyDiv w:val="1"/>
      <w:marLeft w:val="0"/>
      <w:marRight w:val="0"/>
      <w:marTop w:val="0"/>
      <w:marBottom w:val="0"/>
      <w:divBdr>
        <w:top w:val="none" w:sz="0" w:space="0" w:color="auto"/>
        <w:left w:val="none" w:sz="0" w:space="0" w:color="auto"/>
        <w:bottom w:val="none" w:sz="0" w:space="0" w:color="auto"/>
        <w:right w:val="none" w:sz="0" w:space="0" w:color="auto"/>
      </w:divBdr>
    </w:div>
    <w:div w:id="1102336381">
      <w:bodyDiv w:val="1"/>
      <w:marLeft w:val="0"/>
      <w:marRight w:val="0"/>
      <w:marTop w:val="0"/>
      <w:marBottom w:val="0"/>
      <w:divBdr>
        <w:top w:val="none" w:sz="0" w:space="0" w:color="auto"/>
        <w:left w:val="none" w:sz="0" w:space="0" w:color="auto"/>
        <w:bottom w:val="none" w:sz="0" w:space="0" w:color="auto"/>
        <w:right w:val="none" w:sz="0" w:space="0" w:color="auto"/>
      </w:divBdr>
    </w:div>
    <w:div w:id="1147436358">
      <w:bodyDiv w:val="1"/>
      <w:marLeft w:val="0"/>
      <w:marRight w:val="0"/>
      <w:marTop w:val="0"/>
      <w:marBottom w:val="0"/>
      <w:divBdr>
        <w:top w:val="none" w:sz="0" w:space="0" w:color="auto"/>
        <w:left w:val="none" w:sz="0" w:space="0" w:color="auto"/>
        <w:bottom w:val="none" w:sz="0" w:space="0" w:color="auto"/>
        <w:right w:val="none" w:sz="0" w:space="0" w:color="auto"/>
      </w:divBdr>
    </w:div>
    <w:div w:id="1318069449">
      <w:bodyDiv w:val="1"/>
      <w:marLeft w:val="0"/>
      <w:marRight w:val="0"/>
      <w:marTop w:val="0"/>
      <w:marBottom w:val="0"/>
      <w:divBdr>
        <w:top w:val="none" w:sz="0" w:space="0" w:color="auto"/>
        <w:left w:val="none" w:sz="0" w:space="0" w:color="auto"/>
        <w:bottom w:val="none" w:sz="0" w:space="0" w:color="auto"/>
        <w:right w:val="none" w:sz="0" w:space="0" w:color="auto"/>
      </w:divBdr>
    </w:div>
    <w:div w:id="1387945952">
      <w:bodyDiv w:val="1"/>
      <w:marLeft w:val="0"/>
      <w:marRight w:val="0"/>
      <w:marTop w:val="0"/>
      <w:marBottom w:val="0"/>
      <w:divBdr>
        <w:top w:val="none" w:sz="0" w:space="0" w:color="auto"/>
        <w:left w:val="none" w:sz="0" w:space="0" w:color="auto"/>
        <w:bottom w:val="none" w:sz="0" w:space="0" w:color="auto"/>
        <w:right w:val="none" w:sz="0" w:space="0" w:color="auto"/>
      </w:divBdr>
    </w:div>
    <w:div w:id="1459837629">
      <w:bodyDiv w:val="1"/>
      <w:marLeft w:val="0"/>
      <w:marRight w:val="0"/>
      <w:marTop w:val="0"/>
      <w:marBottom w:val="0"/>
      <w:divBdr>
        <w:top w:val="none" w:sz="0" w:space="0" w:color="auto"/>
        <w:left w:val="none" w:sz="0" w:space="0" w:color="auto"/>
        <w:bottom w:val="none" w:sz="0" w:space="0" w:color="auto"/>
        <w:right w:val="none" w:sz="0" w:space="0" w:color="auto"/>
      </w:divBdr>
    </w:div>
    <w:div w:id="1699355184">
      <w:bodyDiv w:val="1"/>
      <w:marLeft w:val="0"/>
      <w:marRight w:val="0"/>
      <w:marTop w:val="0"/>
      <w:marBottom w:val="0"/>
      <w:divBdr>
        <w:top w:val="none" w:sz="0" w:space="0" w:color="auto"/>
        <w:left w:val="none" w:sz="0" w:space="0" w:color="auto"/>
        <w:bottom w:val="none" w:sz="0" w:space="0" w:color="auto"/>
        <w:right w:val="none" w:sz="0" w:space="0" w:color="auto"/>
      </w:divBdr>
    </w:div>
    <w:div w:id="1874413797">
      <w:bodyDiv w:val="1"/>
      <w:marLeft w:val="0"/>
      <w:marRight w:val="0"/>
      <w:marTop w:val="0"/>
      <w:marBottom w:val="0"/>
      <w:divBdr>
        <w:top w:val="none" w:sz="0" w:space="0" w:color="auto"/>
        <w:left w:val="none" w:sz="0" w:space="0" w:color="auto"/>
        <w:bottom w:val="none" w:sz="0" w:space="0" w:color="auto"/>
        <w:right w:val="none" w:sz="0" w:space="0" w:color="auto"/>
      </w:divBdr>
    </w:div>
    <w:div w:id="1951039418">
      <w:bodyDiv w:val="1"/>
      <w:marLeft w:val="0"/>
      <w:marRight w:val="0"/>
      <w:marTop w:val="0"/>
      <w:marBottom w:val="0"/>
      <w:divBdr>
        <w:top w:val="none" w:sz="0" w:space="0" w:color="auto"/>
        <w:left w:val="none" w:sz="0" w:space="0" w:color="auto"/>
        <w:bottom w:val="none" w:sz="0" w:space="0" w:color="auto"/>
        <w:right w:val="none" w:sz="0" w:space="0" w:color="auto"/>
      </w:divBdr>
    </w:div>
    <w:div w:id="1954827157">
      <w:bodyDiv w:val="1"/>
      <w:marLeft w:val="0"/>
      <w:marRight w:val="0"/>
      <w:marTop w:val="0"/>
      <w:marBottom w:val="0"/>
      <w:divBdr>
        <w:top w:val="none" w:sz="0" w:space="0" w:color="auto"/>
        <w:left w:val="none" w:sz="0" w:space="0" w:color="auto"/>
        <w:bottom w:val="none" w:sz="0" w:space="0" w:color="auto"/>
        <w:right w:val="none" w:sz="0" w:space="0" w:color="auto"/>
      </w:divBdr>
    </w:div>
    <w:div w:id="213150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5DA5E-BE1C-4101-88AE-AD6BE0E7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850</Words>
  <Characters>5104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Główny Urząd Nadzoru Budowlanego</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Kozłowski</dc:creator>
  <cp:keywords/>
  <dc:description/>
  <cp:lastModifiedBy>Wojciech Gwizdak</cp:lastModifiedBy>
  <cp:revision>15</cp:revision>
  <dcterms:created xsi:type="dcterms:W3CDTF">2021-04-29T08:47:00Z</dcterms:created>
  <dcterms:modified xsi:type="dcterms:W3CDTF">2021-05-13T19:26:00Z</dcterms:modified>
</cp:coreProperties>
</file>