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jc w:val="center"/>
        <w:tblLook w:val="04A0" w:firstRow="1" w:lastRow="0" w:firstColumn="1" w:lastColumn="0" w:noHBand="0" w:noVBand="1"/>
      </w:tblPr>
      <w:tblGrid>
        <w:gridCol w:w="594"/>
        <w:gridCol w:w="2101"/>
        <w:gridCol w:w="2832"/>
        <w:gridCol w:w="8467"/>
      </w:tblGrid>
      <w:tr w:rsidR="00C63F1E" w:rsidRPr="00FF4480" w14:paraId="586351DF" w14:textId="77777777" w:rsidTr="00C83FBD">
        <w:trPr>
          <w:trHeight w:val="592"/>
          <w:jc w:val="center"/>
        </w:trPr>
        <w:tc>
          <w:tcPr>
            <w:tcW w:w="14008" w:type="dxa"/>
            <w:gridSpan w:val="4"/>
            <w:vAlign w:val="center"/>
          </w:tcPr>
          <w:p w14:paraId="4485B724" w14:textId="77777777" w:rsidR="00923F6D" w:rsidRDefault="00C63F1E" w:rsidP="004A28E0">
            <w:pPr>
              <w:jc w:val="center"/>
              <w:rPr>
                <w:rFonts w:ascii="Times New Roman" w:hAnsi="Times New Roman" w:cs="Times New Roman"/>
                <w:b/>
                <w:i/>
                <w:sz w:val="24"/>
                <w:szCs w:val="24"/>
                <w:lang w:eastAsia="pl-PL"/>
              </w:rPr>
            </w:pPr>
            <w:r w:rsidRPr="00923F6D">
              <w:rPr>
                <w:rFonts w:ascii="Times New Roman" w:hAnsi="Times New Roman" w:cs="Times New Roman"/>
                <w:b/>
                <w:sz w:val="24"/>
                <w:szCs w:val="24"/>
                <w:lang w:eastAsia="pl-PL"/>
              </w:rPr>
              <w:t xml:space="preserve">Uwagi do </w:t>
            </w:r>
            <w:r w:rsidRPr="00923F6D">
              <w:rPr>
                <w:rFonts w:ascii="Times New Roman" w:hAnsi="Times New Roman" w:cs="Times New Roman"/>
                <w:b/>
                <w:i/>
                <w:sz w:val="24"/>
                <w:szCs w:val="24"/>
                <w:lang w:eastAsia="pl-PL"/>
              </w:rPr>
              <w:t xml:space="preserve">projektu </w:t>
            </w:r>
            <w:r w:rsidR="00923F6D" w:rsidRPr="00923F6D">
              <w:rPr>
                <w:rFonts w:ascii="Times New Roman" w:hAnsi="Times New Roman" w:cs="Times New Roman"/>
                <w:b/>
                <w:i/>
                <w:sz w:val="24"/>
                <w:szCs w:val="24"/>
                <w:lang w:eastAsia="pl-PL"/>
              </w:rPr>
              <w:t>ustawy o zmianie ustawy – Prawo budowlane oraz niektórych innych ustaw (UD22)</w:t>
            </w:r>
          </w:p>
          <w:p w14:paraId="6EF56CFE" w14:textId="58CFC5C1" w:rsidR="00C63F1E" w:rsidRPr="00923F6D" w:rsidRDefault="00923F6D" w:rsidP="004A28E0">
            <w:pPr>
              <w:jc w:val="center"/>
              <w:rPr>
                <w:rFonts w:ascii="Times New Roman" w:hAnsi="Times New Roman" w:cs="Times New Roman"/>
                <w:b/>
                <w:bCs/>
                <w:sz w:val="24"/>
                <w:szCs w:val="24"/>
              </w:rPr>
            </w:pPr>
            <w:r w:rsidRPr="00923F6D">
              <w:rPr>
                <w:rFonts w:ascii="Times New Roman" w:hAnsi="Times New Roman" w:cs="Times New Roman"/>
                <w:b/>
                <w:i/>
                <w:sz w:val="24"/>
                <w:szCs w:val="24"/>
                <w:lang w:eastAsia="pl-PL"/>
              </w:rPr>
              <w:t xml:space="preserve"> – ponowne uzgodnienia międzyresortowe, opiniowani</w:t>
            </w:r>
            <w:r>
              <w:rPr>
                <w:rFonts w:ascii="Times New Roman" w:hAnsi="Times New Roman" w:cs="Times New Roman"/>
                <w:b/>
                <w:i/>
                <w:sz w:val="24"/>
                <w:szCs w:val="24"/>
                <w:lang w:eastAsia="pl-PL"/>
              </w:rPr>
              <w:t>e</w:t>
            </w:r>
            <w:r w:rsidRPr="00923F6D">
              <w:rPr>
                <w:rFonts w:ascii="Times New Roman" w:hAnsi="Times New Roman" w:cs="Times New Roman"/>
                <w:b/>
                <w:i/>
                <w:sz w:val="24"/>
                <w:szCs w:val="24"/>
                <w:lang w:eastAsia="pl-PL"/>
              </w:rPr>
              <w:t xml:space="preserve"> i konsultacje </w:t>
            </w:r>
          </w:p>
        </w:tc>
      </w:tr>
      <w:tr w:rsidR="004A28E0" w:rsidRPr="00FF4480" w14:paraId="107D72E0" w14:textId="77777777" w:rsidTr="00A1326C">
        <w:trPr>
          <w:trHeight w:val="592"/>
          <w:jc w:val="center"/>
        </w:trPr>
        <w:tc>
          <w:tcPr>
            <w:tcW w:w="594" w:type="dxa"/>
            <w:vAlign w:val="center"/>
          </w:tcPr>
          <w:p w14:paraId="7548ACC1" w14:textId="77777777" w:rsidR="004A28E0" w:rsidRPr="00FF4480" w:rsidRDefault="004A28E0" w:rsidP="004A28E0">
            <w:pPr>
              <w:jc w:val="center"/>
              <w:rPr>
                <w:rFonts w:ascii="Times New Roman" w:hAnsi="Times New Roman" w:cs="Times New Roman"/>
                <w:sz w:val="20"/>
              </w:rPr>
            </w:pPr>
            <w:r w:rsidRPr="00FF4480">
              <w:rPr>
                <w:rFonts w:ascii="Times New Roman" w:hAnsi="Times New Roman" w:cs="Times New Roman"/>
                <w:b/>
                <w:sz w:val="20"/>
              </w:rPr>
              <w:t>Lp</w:t>
            </w:r>
            <w:r w:rsidRPr="00FF4480">
              <w:rPr>
                <w:rFonts w:ascii="Times New Roman" w:hAnsi="Times New Roman" w:cs="Times New Roman"/>
                <w:sz w:val="20"/>
              </w:rPr>
              <w:t>.</w:t>
            </w:r>
          </w:p>
        </w:tc>
        <w:tc>
          <w:tcPr>
            <w:tcW w:w="2102" w:type="dxa"/>
            <w:vAlign w:val="center"/>
          </w:tcPr>
          <w:p w14:paraId="001852AA" w14:textId="77777777" w:rsidR="006C42B2" w:rsidRDefault="004A28E0" w:rsidP="00141978">
            <w:pPr>
              <w:spacing w:after="60"/>
              <w:jc w:val="center"/>
              <w:rPr>
                <w:rFonts w:ascii="Times New Roman" w:hAnsi="Times New Roman" w:cs="Times New Roman"/>
                <w:b/>
                <w:bCs/>
                <w:sz w:val="20"/>
              </w:rPr>
            </w:pPr>
            <w:r w:rsidRPr="00FF4480">
              <w:rPr>
                <w:rFonts w:ascii="Times New Roman" w:hAnsi="Times New Roman" w:cs="Times New Roman"/>
                <w:b/>
                <w:bCs/>
                <w:sz w:val="20"/>
              </w:rPr>
              <w:t>Jednostka redakcyjna, której uwaga dotyczy</w:t>
            </w:r>
            <w:r w:rsidR="006C42B2">
              <w:rPr>
                <w:rFonts w:ascii="Times New Roman" w:hAnsi="Times New Roman" w:cs="Times New Roman"/>
                <w:b/>
                <w:bCs/>
                <w:sz w:val="20"/>
              </w:rPr>
              <w:t xml:space="preserve">/ </w:t>
            </w:r>
          </w:p>
          <w:p w14:paraId="4028029F" w14:textId="77777777" w:rsidR="004A28E0" w:rsidRDefault="006C42B2" w:rsidP="00141978">
            <w:pPr>
              <w:spacing w:after="60"/>
              <w:jc w:val="center"/>
              <w:rPr>
                <w:rFonts w:ascii="Times New Roman" w:hAnsi="Times New Roman" w:cs="Times New Roman"/>
                <w:b/>
                <w:bCs/>
                <w:sz w:val="20"/>
              </w:rPr>
            </w:pPr>
            <w:r>
              <w:rPr>
                <w:rFonts w:ascii="Times New Roman" w:hAnsi="Times New Roman" w:cs="Times New Roman"/>
                <w:b/>
                <w:bCs/>
                <w:sz w:val="20"/>
              </w:rPr>
              <w:t>pkt Uzasadnienia/</w:t>
            </w:r>
          </w:p>
          <w:p w14:paraId="59F976D0" w14:textId="77777777" w:rsidR="006C42B2" w:rsidRPr="00FF4480" w:rsidRDefault="006C42B2" w:rsidP="00141978">
            <w:pPr>
              <w:spacing w:after="60"/>
              <w:jc w:val="center"/>
              <w:rPr>
                <w:rFonts w:ascii="Times New Roman" w:hAnsi="Times New Roman" w:cs="Times New Roman"/>
                <w:b/>
                <w:bCs/>
                <w:sz w:val="20"/>
              </w:rPr>
            </w:pPr>
            <w:r>
              <w:rPr>
                <w:rFonts w:ascii="Times New Roman" w:hAnsi="Times New Roman" w:cs="Times New Roman"/>
                <w:b/>
                <w:bCs/>
                <w:sz w:val="20"/>
              </w:rPr>
              <w:t>pkt OSR</w:t>
            </w:r>
          </w:p>
        </w:tc>
        <w:tc>
          <w:tcPr>
            <w:tcW w:w="2835" w:type="dxa"/>
            <w:vAlign w:val="center"/>
          </w:tcPr>
          <w:p w14:paraId="524FE400" w14:textId="77777777" w:rsidR="004A28E0" w:rsidRPr="00FF4480" w:rsidRDefault="004A28E0" w:rsidP="004A28E0">
            <w:pPr>
              <w:jc w:val="center"/>
              <w:rPr>
                <w:rFonts w:ascii="Times New Roman" w:hAnsi="Times New Roman" w:cs="Times New Roman"/>
                <w:sz w:val="20"/>
              </w:rPr>
            </w:pPr>
            <w:r w:rsidRPr="00FF4480">
              <w:rPr>
                <w:rFonts w:ascii="Times New Roman" w:hAnsi="Times New Roman" w:cs="Times New Roman"/>
                <w:b/>
                <w:bCs/>
                <w:sz w:val="20"/>
              </w:rPr>
              <w:t>Podmiot zgłaszający</w:t>
            </w:r>
          </w:p>
        </w:tc>
        <w:tc>
          <w:tcPr>
            <w:tcW w:w="8477" w:type="dxa"/>
            <w:vAlign w:val="center"/>
          </w:tcPr>
          <w:p w14:paraId="5DEAB70E" w14:textId="1365327C" w:rsidR="004A28E0" w:rsidRPr="00FF4480" w:rsidRDefault="00141978" w:rsidP="004A28E0">
            <w:pPr>
              <w:jc w:val="center"/>
              <w:rPr>
                <w:rFonts w:ascii="Times New Roman" w:hAnsi="Times New Roman" w:cs="Times New Roman"/>
                <w:sz w:val="20"/>
              </w:rPr>
            </w:pPr>
            <w:r>
              <w:rPr>
                <w:rFonts w:ascii="Times New Roman" w:hAnsi="Times New Roman" w:cs="Times New Roman"/>
                <w:b/>
                <w:bCs/>
                <w:sz w:val="20"/>
              </w:rPr>
              <w:t>U</w:t>
            </w:r>
            <w:r w:rsidR="004A28E0" w:rsidRPr="00FF4480">
              <w:rPr>
                <w:rFonts w:ascii="Times New Roman" w:hAnsi="Times New Roman" w:cs="Times New Roman"/>
                <w:b/>
                <w:bCs/>
                <w:sz w:val="20"/>
              </w:rPr>
              <w:t>waga</w:t>
            </w:r>
            <w:r>
              <w:rPr>
                <w:rFonts w:ascii="Times New Roman" w:hAnsi="Times New Roman" w:cs="Times New Roman"/>
                <w:b/>
                <w:bCs/>
                <w:sz w:val="20"/>
              </w:rPr>
              <w:t>/ Propozycja zmian zapisu</w:t>
            </w:r>
            <w:r w:rsidR="005F0D28">
              <w:rPr>
                <w:rFonts w:ascii="Times New Roman" w:hAnsi="Times New Roman" w:cs="Times New Roman"/>
                <w:b/>
                <w:bCs/>
                <w:sz w:val="20"/>
              </w:rPr>
              <w:t xml:space="preserve">  </w:t>
            </w:r>
          </w:p>
        </w:tc>
      </w:tr>
      <w:tr w:rsidR="00290B69" w:rsidRPr="00FF4480" w14:paraId="4B5FDF52" w14:textId="77777777" w:rsidTr="00A1326C">
        <w:trPr>
          <w:jc w:val="center"/>
        </w:trPr>
        <w:tc>
          <w:tcPr>
            <w:tcW w:w="594" w:type="dxa"/>
          </w:tcPr>
          <w:p w14:paraId="4B00E1E3" w14:textId="77777777" w:rsidR="00290B69" w:rsidRPr="00FF4480" w:rsidRDefault="00290B69"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7BE6A6C4" w14:textId="47D0EAA4" w:rsidR="00290B69" w:rsidRPr="00FE4F6B" w:rsidRDefault="00290B69" w:rsidP="00290B69">
            <w:pPr>
              <w:rPr>
                <w:rFonts w:ascii="Times New Roman" w:hAnsi="Times New Roman" w:cs="Times New Roman"/>
                <w:sz w:val="20"/>
              </w:rPr>
            </w:pPr>
            <w:r w:rsidRPr="00290B69">
              <w:rPr>
                <w:rFonts w:ascii="Times New Roman" w:hAnsi="Times New Roman" w:cs="Times New Roman"/>
                <w:sz w:val="20"/>
              </w:rPr>
              <w:t xml:space="preserve">Art. 3 pkt </w:t>
            </w:r>
            <w:r>
              <w:rPr>
                <w:rFonts w:ascii="Times New Roman" w:hAnsi="Times New Roman" w:cs="Times New Roman"/>
                <w:sz w:val="20"/>
              </w:rPr>
              <w:t xml:space="preserve">2a </w:t>
            </w:r>
            <w:r w:rsidRPr="00290B69">
              <w:rPr>
                <w:rFonts w:ascii="Times New Roman" w:hAnsi="Times New Roman" w:cs="Times New Roman"/>
                <w:sz w:val="20"/>
              </w:rPr>
              <w:t>ustawy nowelizowanej</w:t>
            </w:r>
          </w:p>
        </w:tc>
        <w:tc>
          <w:tcPr>
            <w:tcW w:w="2835" w:type="dxa"/>
            <w:vAlign w:val="center"/>
          </w:tcPr>
          <w:p w14:paraId="5A98B439" w14:textId="79168B0D" w:rsidR="00290B69" w:rsidRPr="00FE4F6B" w:rsidRDefault="00290B69" w:rsidP="00290B69">
            <w:pPr>
              <w:jc w:val="both"/>
              <w:rPr>
                <w:rFonts w:ascii="Times New Roman" w:hAnsi="Times New Roman" w:cs="Times New Roman"/>
                <w:sz w:val="20"/>
              </w:rPr>
            </w:pPr>
            <w:r w:rsidRPr="00290B69">
              <w:rPr>
                <w:rFonts w:ascii="Times New Roman" w:hAnsi="Times New Roman" w:cs="Times New Roman"/>
                <w:sz w:val="20"/>
              </w:rPr>
              <w:t>Izba Architektów RP</w:t>
            </w:r>
            <w:r w:rsidR="001E53B8">
              <w:rPr>
                <w:rFonts w:ascii="Times New Roman" w:hAnsi="Times New Roman" w:cs="Times New Roman"/>
                <w:sz w:val="20"/>
              </w:rPr>
              <w:t xml:space="preserve"> </w:t>
            </w:r>
          </w:p>
        </w:tc>
        <w:tc>
          <w:tcPr>
            <w:tcW w:w="8477" w:type="dxa"/>
            <w:vAlign w:val="center"/>
          </w:tcPr>
          <w:p w14:paraId="1FEB1B57" w14:textId="3D4012EF" w:rsidR="00290B69" w:rsidRPr="00290B69" w:rsidRDefault="005D4D7E" w:rsidP="00290B69">
            <w:pPr>
              <w:jc w:val="both"/>
              <w:rPr>
                <w:rFonts w:ascii="Times New Roman" w:hAnsi="Times New Roman" w:cs="Times New Roman"/>
                <w:sz w:val="20"/>
              </w:rPr>
            </w:pPr>
            <w:r>
              <w:rPr>
                <w:rFonts w:ascii="Times New Roman" w:hAnsi="Times New Roman" w:cs="Times New Roman"/>
                <w:sz w:val="20"/>
              </w:rPr>
              <w:t>Nowelizacji wymaga definicja budynku mieszkalnego jednorodzinnego.</w:t>
            </w:r>
            <w:r w:rsidR="00290B69" w:rsidRPr="00290B69">
              <w:rPr>
                <w:rFonts w:ascii="Times New Roman" w:hAnsi="Times New Roman" w:cs="Times New Roman"/>
                <w:sz w:val="20"/>
              </w:rPr>
              <w:t xml:space="preserve"> Należy wprowadzić zasadę, że budynek mieszkalny jednorodzinny to budynek, do dwóch lokali mieszkalnych zlokalizowany na jednej działce. K</w:t>
            </w:r>
            <w:r>
              <w:rPr>
                <w:rFonts w:ascii="Times New Roman" w:hAnsi="Times New Roman" w:cs="Times New Roman"/>
                <w:sz w:val="20"/>
              </w:rPr>
              <w:t>onieczne</w:t>
            </w:r>
            <w:r w:rsidR="00290B69" w:rsidRPr="00290B69">
              <w:rPr>
                <w:rFonts w:ascii="Times New Roman" w:hAnsi="Times New Roman" w:cs="Times New Roman"/>
                <w:sz w:val="20"/>
              </w:rPr>
              <w:t xml:space="preserve"> </w:t>
            </w:r>
            <w:r>
              <w:rPr>
                <w:rFonts w:ascii="Times New Roman" w:hAnsi="Times New Roman" w:cs="Times New Roman"/>
                <w:sz w:val="20"/>
              </w:rPr>
              <w:t>jest</w:t>
            </w:r>
            <w:r w:rsidR="00290B69" w:rsidRPr="00290B69">
              <w:rPr>
                <w:rFonts w:ascii="Times New Roman" w:hAnsi="Times New Roman" w:cs="Times New Roman"/>
                <w:sz w:val="20"/>
              </w:rPr>
              <w:t xml:space="preserve"> </w:t>
            </w:r>
            <w:r>
              <w:rPr>
                <w:rFonts w:ascii="Times New Roman" w:hAnsi="Times New Roman" w:cs="Times New Roman"/>
                <w:sz w:val="20"/>
              </w:rPr>
              <w:t>związanie</w:t>
            </w:r>
            <w:r w:rsidR="00290B69" w:rsidRPr="00290B69">
              <w:rPr>
                <w:rFonts w:ascii="Times New Roman" w:hAnsi="Times New Roman" w:cs="Times New Roman"/>
                <w:sz w:val="20"/>
              </w:rPr>
              <w:t xml:space="preserve"> </w:t>
            </w:r>
            <w:r>
              <w:rPr>
                <w:rFonts w:ascii="Times New Roman" w:hAnsi="Times New Roman" w:cs="Times New Roman"/>
                <w:sz w:val="20"/>
              </w:rPr>
              <w:t>definicji</w:t>
            </w:r>
            <w:r w:rsidR="00290B69" w:rsidRPr="00290B69">
              <w:rPr>
                <w:rFonts w:ascii="Times New Roman" w:hAnsi="Times New Roman" w:cs="Times New Roman"/>
                <w:sz w:val="20"/>
              </w:rPr>
              <w:t xml:space="preserve"> </w:t>
            </w:r>
            <w:r>
              <w:rPr>
                <w:rFonts w:ascii="Times New Roman" w:hAnsi="Times New Roman" w:cs="Times New Roman"/>
                <w:sz w:val="20"/>
              </w:rPr>
              <w:t>budynku</w:t>
            </w:r>
            <w:r w:rsidR="00290B69" w:rsidRPr="00290B69">
              <w:rPr>
                <w:rFonts w:ascii="Times New Roman" w:hAnsi="Times New Roman" w:cs="Times New Roman"/>
                <w:sz w:val="20"/>
              </w:rPr>
              <w:t xml:space="preserve"> </w:t>
            </w:r>
            <w:r>
              <w:rPr>
                <w:rFonts w:ascii="Times New Roman" w:hAnsi="Times New Roman" w:cs="Times New Roman"/>
                <w:sz w:val="20"/>
              </w:rPr>
              <w:t>mieszkalnego</w:t>
            </w:r>
            <w:r w:rsidR="00290B69" w:rsidRPr="00290B69">
              <w:rPr>
                <w:rFonts w:ascii="Times New Roman" w:hAnsi="Times New Roman" w:cs="Times New Roman"/>
                <w:sz w:val="20"/>
              </w:rPr>
              <w:t xml:space="preserve"> </w:t>
            </w:r>
            <w:r>
              <w:rPr>
                <w:rFonts w:ascii="Times New Roman" w:hAnsi="Times New Roman" w:cs="Times New Roman"/>
                <w:sz w:val="20"/>
              </w:rPr>
              <w:t>jednorodzinnego</w:t>
            </w:r>
            <w:r w:rsidR="00290B69" w:rsidRPr="00290B69">
              <w:rPr>
                <w:rFonts w:ascii="Times New Roman" w:hAnsi="Times New Roman" w:cs="Times New Roman"/>
                <w:sz w:val="20"/>
              </w:rPr>
              <w:t xml:space="preserve"> </w:t>
            </w:r>
            <w:r>
              <w:rPr>
                <w:rFonts w:ascii="Times New Roman" w:hAnsi="Times New Roman" w:cs="Times New Roman"/>
                <w:sz w:val="20"/>
              </w:rPr>
              <w:t>z</w:t>
            </w:r>
            <w:r w:rsidR="00290B69" w:rsidRPr="00290B69">
              <w:rPr>
                <w:rFonts w:ascii="Times New Roman" w:hAnsi="Times New Roman" w:cs="Times New Roman"/>
                <w:sz w:val="20"/>
              </w:rPr>
              <w:t xml:space="preserve"> </w:t>
            </w:r>
            <w:r>
              <w:rPr>
                <w:rFonts w:ascii="Times New Roman" w:hAnsi="Times New Roman" w:cs="Times New Roman"/>
                <w:sz w:val="20"/>
              </w:rPr>
              <w:t>działką</w:t>
            </w:r>
            <w:r w:rsidR="00290B69" w:rsidRPr="00290B69">
              <w:rPr>
                <w:rFonts w:ascii="Times New Roman" w:hAnsi="Times New Roman" w:cs="Times New Roman"/>
                <w:sz w:val="20"/>
              </w:rPr>
              <w:t>. Budynek jednorodzinny to przede wszystkim specyficzny sposób użytkowania działki, gdzie teren jest wyłączną własnością właściciela działki, który decyduje w całości o sposobie korzystania i sposobie jej zagospodarowania. To kryterium działki jest kluczowe, a liczba lokali wtórna. Dlatego decydujący o tym</w:t>
            </w:r>
            <w:r w:rsidR="00E25BFC">
              <w:rPr>
                <w:rFonts w:ascii="Times New Roman" w:hAnsi="Times New Roman" w:cs="Times New Roman"/>
                <w:sz w:val="20"/>
              </w:rPr>
              <w:t>,</w:t>
            </w:r>
            <w:r w:rsidR="00290B69" w:rsidRPr="00290B69">
              <w:rPr>
                <w:rFonts w:ascii="Times New Roman" w:hAnsi="Times New Roman" w:cs="Times New Roman"/>
                <w:sz w:val="20"/>
              </w:rPr>
              <w:t xml:space="preserve"> czy budynek i zabudowa </w:t>
            </w:r>
            <w:proofErr w:type="gramStart"/>
            <w:r w:rsidR="00290B69" w:rsidRPr="00290B69">
              <w:rPr>
                <w:rFonts w:ascii="Times New Roman" w:hAnsi="Times New Roman" w:cs="Times New Roman"/>
                <w:sz w:val="20"/>
              </w:rPr>
              <w:t>jest</w:t>
            </w:r>
            <w:proofErr w:type="gramEnd"/>
            <w:r w:rsidR="00971F09">
              <w:rPr>
                <w:rFonts w:ascii="Times New Roman" w:hAnsi="Times New Roman" w:cs="Times New Roman"/>
                <w:sz w:val="20"/>
              </w:rPr>
              <w:t xml:space="preserve"> </w:t>
            </w:r>
            <w:r w:rsidR="00290B69" w:rsidRPr="00290B69">
              <w:rPr>
                <w:rFonts w:ascii="Times New Roman" w:hAnsi="Times New Roman" w:cs="Times New Roman"/>
                <w:sz w:val="20"/>
              </w:rPr>
              <w:t xml:space="preserve">jednorodzinna powinno być kryterium, do dwóch lokali mieszkalnych na jednej działce (lub terenie). Tym samym kryterium nie może być liczba lokali mieszkalnych w budynku, tylko czy jest się wyłącznym użytkownikiem działki. </w:t>
            </w:r>
          </w:p>
          <w:p w14:paraId="2F46D4D6" w14:textId="3057681A" w:rsidR="00290B69" w:rsidRPr="00FE4F6B" w:rsidRDefault="00290B69" w:rsidP="00290B69">
            <w:pPr>
              <w:jc w:val="both"/>
              <w:rPr>
                <w:rFonts w:ascii="Times New Roman" w:hAnsi="Times New Roman" w:cs="Times New Roman"/>
                <w:sz w:val="20"/>
              </w:rPr>
            </w:pPr>
            <w:r w:rsidRPr="00290B69">
              <w:rPr>
                <w:rFonts w:ascii="Times New Roman" w:hAnsi="Times New Roman" w:cs="Times New Roman"/>
                <w:sz w:val="20"/>
              </w:rPr>
              <w:t xml:space="preserve">Niestety nieprecyzyjna definicja budynku mieszkalnego jednorodzinnego sprawia, że powstają inwestycje, gdzie realizuje się wiele budynków (do dwóch lokali mieszkalnych) na jednej działce. Skutkuje to tym, że działka jest użytkowana tak samo jak działka w zabudowie wielorodzinnej – posiada jeden wjazd, wspólny śmietnik, wspólny parking, wspólny plac zabaw, a sam teren otaczający budynki jest terenem wspólnym dla wszystkich mieszkańców i nie jest użytkowany w ten sam sposób co prywatny teren działki, na której stoi jeden budynek jednorodzinny. </w:t>
            </w:r>
            <w:r w:rsidR="00971F09">
              <w:rPr>
                <w:rFonts w:ascii="Times New Roman" w:hAnsi="Times New Roman" w:cs="Times New Roman"/>
                <w:sz w:val="20"/>
              </w:rPr>
              <w:t xml:space="preserve">  </w:t>
            </w:r>
          </w:p>
        </w:tc>
      </w:tr>
      <w:tr w:rsidR="00FE4F6B" w:rsidRPr="00FF4480" w14:paraId="512FE214" w14:textId="77777777" w:rsidTr="00A1326C">
        <w:trPr>
          <w:jc w:val="center"/>
        </w:trPr>
        <w:tc>
          <w:tcPr>
            <w:tcW w:w="594" w:type="dxa"/>
          </w:tcPr>
          <w:p w14:paraId="27726823" w14:textId="77777777" w:rsidR="00FE4F6B" w:rsidRPr="00FF4480" w:rsidRDefault="00FE4F6B"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6B11C641" w14:textId="066F73D1" w:rsidR="00FE4F6B" w:rsidRDefault="00FE4F6B" w:rsidP="00F4605B">
            <w:pPr>
              <w:rPr>
                <w:rFonts w:ascii="Times New Roman" w:hAnsi="Times New Roman" w:cs="Times New Roman"/>
                <w:sz w:val="20"/>
              </w:rPr>
            </w:pPr>
            <w:r w:rsidRPr="00FE4F6B">
              <w:rPr>
                <w:rFonts w:ascii="Times New Roman" w:hAnsi="Times New Roman" w:cs="Times New Roman"/>
                <w:sz w:val="20"/>
              </w:rPr>
              <w:t>Art. 3 pkt 2</w:t>
            </w:r>
            <w:r w:rsidR="00F4605B">
              <w:rPr>
                <w:rFonts w:ascii="Times New Roman" w:hAnsi="Times New Roman" w:cs="Times New Roman"/>
                <w:sz w:val="20"/>
              </w:rPr>
              <w:t>c</w:t>
            </w:r>
            <w:r w:rsidR="006C6099">
              <w:rPr>
                <w:rFonts w:ascii="Times New Roman" w:hAnsi="Times New Roman" w:cs="Times New Roman"/>
                <w:sz w:val="20"/>
              </w:rPr>
              <w:t xml:space="preserve"> </w:t>
            </w:r>
            <w:r w:rsidRPr="00FE4F6B">
              <w:rPr>
                <w:rFonts w:ascii="Times New Roman" w:hAnsi="Times New Roman" w:cs="Times New Roman"/>
                <w:sz w:val="20"/>
              </w:rPr>
              <w:t>ustawy nowelizowanej</w:t>
            </w:r>
          </w:p>
        </w:tc>
        <w:tc>
          <w:tcPr>
            <w:tcW w:w="2835" w:type="dxa"/>
            <w:vAlign w:val="center"/>
          </w:tcPr>
          <w:p w14:paraId="0A2F0C1D" w14:textId="77777777" w:rsidR="00FE4F6B" w:rsidRPr="00FE4F6B" w:rsidRDefault="00FE4F6B" w:rsidP="00FE4F6B">
            <w:pPr>
              <w:jc w:val="both"/>
              <w:rPr>
                <w:rFonts w:ascii="Times New Roman" w:hAnsi="Times New Roman" w:cs="Times New Roman"/>
                <w:sz w:val="20"/>
              </w:rPr>
            </w:pPr>
            <w:r w:rsidRPr="00FE4F6B">
              <w:rPr>
                <w:rFonts w:ascii="Times New Roman" w:hAnsi="Times New Roman" w:cs="Times New Roman"/>
                <w:sz w:val="20"/>
              </w:rPr>
              <w:t>Izba Architektów RP</w:t>
            </w:r>
          </w:p>
          <w:p w14:paraId="23EF950A" w14:textId="67D67401" w:rsidR="00FE4F6B" w:rsidRDefault="00FE4F6B" w:rsidP="00FE4F6B">
            <w:pPr>
              <w:jc w:val="both"/>
              <w:rPr>
                <w:rFonts w:ascii="Times New Roman" w:hAnsi="Times New Roman" w:cs="Times New Roman"/>
                <w:sz w:val="20"/>
              </w:rPr>
            </w:pPr>
          </w:p>
        </w:tc>
        <w:tc>
          <w:tcPr>
            <w:tcW w:w="8477" w:type="dxa"/>
            <w:vAlign w:val="center"/>
          </w:tcPr>
          <w:p w14:paraId="0E4218DA" w14:textId="410DF8BF" w:rsidR="00FE4F6B" w:rsidRDefault="00FE4F6B" w:rsidP="00FE4F6B">
            <w:pPr>
              <w:jc w:val="both"/>
              <w:rPr>
                <w:rFonts w:ascii="Times New Roman" w:hAnsi="Times New Roman" w:cs="Times New Roman"/>
                <w:sz w:val="20"/>
              </w:rPr>
            </w:pPr>
            <w:r w:rsidRPr="00FE4F6B">
              <w:rPr>
                <w:rFonts w:ascii="Times New Roman" w:hAnsi="Times New Roman" w:cs="Times New Roman"/>
                <w:sz w:val="20"/>
              </w:rPr>
              <w:t xml:space="preserve">Pomieszczenia takie jak garaż podziemny, komórki lokatorskie i inne pomieszczenia nieprzeznaczone na stały pobyt ludzi nie powinny przesądzać o funkcji budynku, stąd propozycja </w:t>
            </w:r>
            <w:r>
              <w:rPr>
                <w:rFonts w:ascii="Times New Roman" w:hAnsi="Times New Roman" w:cs="Times New Roman"/>
                <w:sz w:val="20"/>
              </w:rPr>
              <w:t>dodania do definicji wyraz</w:t>
            </w:r>
            <w:r w:rsidR="008C56C6">
              <w:rPr>
                <w:rFonts w:ascii="Times New Roman" w:hAnsi="Times New Roman" w:cs="Times New Roman"/>
                <w:sz w:val="20"/>
              </w:rPr>
              <w:t>u</w:t>
            </w:r>
            <w:r>
              <w:rPr>
                <w:rFonts w:ascii="Times New Roman" w:hAnsi="Times New Roman" w:cs="Times New Roman"/>
                <w:sz w:val="20"/>
              </w:rPr>
              <w:t xml:space="preserve"> </w:t>
            </w:r>
            <w:r w:rsidRPr="00FE4F6B">
              <w:rPr>
                <w:rFonts w:ascii="Times New Roman" w:hAnsi="Times New Roman" w:cs="Times New Roman"/>
                <w:sz w:val="20"/>
              </w:rPr>
              <w:t>„nadziemnej’’.</w:t>
            </w:r>
          </w:p>
          <w:p w14:paraId="0197E867" w14:textId="114C183A" w:rsidR="00FE4F6B" w:rsidRPr="00FE4F6B" w:rsidRDefault="00FE4F6B" w:rsidP="00FE4F6B">
            <w:pPr>
              <w:jc w:val="both"/>
              <w:rPr>
                <w:rFonts w:ascii="Times New Roman" w:hAnsi="Times New Roman" w:cs="Times New Roman"/>
                <w:sz w:val="20"/>
              </w:rPr>
            </w:pPr>
            <w:r w:rsidRPr="00FE4F6B">
              <w:rPr>
                <w:rFonts w:ascii="Times New Roman" w:hAnsi="Times New Roman" w:cs="Times New Roman"/>
                <w:sz w:val="20"/>
              </w:rPr>
              <w:t>Propozycja zapisu:</w:t>
            </w:r>
          </w:p>
          <w:p w14:paraId="393569FD" w14:textId="7FADDBAC" w:rsidR="00FE4F6B" w:rsidRPr="00060C94" w:rsidRDefault="00FE4F6B" w:rsidP="00FE4F6B">
            <w:pPr>
              <w:jc w:val="both"/>
              <w:rPr>
                <w:rFonts w:ascii="Times New Roman" w:hAnsi="Times New Roman" w:cs="Times New Roman"/>
                <w:sz w:val="20"/>
              </w:rPr>
            </w:pPr>
            <w:r>
              <w:rPr>
                <w:rFonts w:ascii="Times New Roman" w:hAnsi="Times New Roman" w:cs="Times New Roman"/>
                <w:sz w:val="20"/>
              </w:rPr>
              <w:t>„</w:t>
            </w:r>
            <w:r w:rsidRPr="00FE4F6B">
              <w:rPr>
                <w:rFonts w:ascii="Times New Roman" w:hAnsi="Times New Roman" w:cs="Times New Roman"/>
                <w:sz w:val="20"/>
              </w:rPr>
              <w:t xml:space="preserve">2c) budynku mieszkalnym wielorodzinnym należy przez to rozumieć budynek służący zaspokajaniu potrzeb mieszkaniowych, w którym wydzielono więcej niż dwa lokale mieszkalne albo lokale mieszkalne i lokal lub lokale użytkowe o powierzchni całkowitej nieprzekraczającej 30% powierzchni całkowitej </w:t>
            </w:r>
            <w:r w:rsidRPr="001A442B">
              <w:rPr>
                <w:rFonts w:ascii="Times New Roman" w:hAnsi="Times New Roman" w:cs="Times New Roman"/>
                <w:color w:val="4F81BD" w:themeColor="accent1"/>
                <w:sz w:val="20"/>
              </w:rPr>
              <w:t>nadziemnej</w:t>
            </w:r>
            <w:r w:rsidRPr="00FE4F6B">
              <w:rPr>
                <w:rFonts w:ascii="Times New Roman" w:hAnsi="Times New Roman" w:cs="Times New Roman"/>
                <w:sz w:val="20"/>
              </w:rPr>
              <w:t xml:space="preserve"> budynku</w:t>
            </w:r>
            <w:r>
              <w:rPr>
                <w:rFonts w:ascii="Times New Roman" w:hAnsi="Times New Roman" w:cs="Times New Roman"/>
                <w:sz w:val="20"/>
              </w:rPr>
              <w:t>.”</w:t>
            </w:r>
            <w:r w:rsidRPr="00FE4F6B">
              <w:rPr>
                <w:rFonts w:ascii="Times New Roman" w:hAnsi="Times New Roman" w:cs="Times New Roman"/>
                <w:sz w:val="20"/>
              </w:rPr>
              <w:t>.</w:t>
            </w:r>
            <w:r w:rsidR="001A442B">
              <w:rPr>
                <w:rFonts w:ascii="Times New Roman" w:hAnsi="Times New Roman" w:cs="Times New Roman"/>
                <w:sz w:val="20"/>
              </w:rPr>
              <w:t xml:space="preserve">  </w:t>
            </w:r>
          </w:p>
        </w:tc>
      </w:tr>
      <w:tr w:rsidR="004A28E0" w:rsidRPr="00FF4480" w14:paraId="4CADC4FB" w14:textId="77777777" w:rsidTr="00A1326C">
        <w:trPr>
          <w:jc w:val="center"/>
        </w:trPr>
        <w:tc>
          <w:tcPr>
            <w:tcW w:w="594" w:type="dxa"/>
          </w:tcPr>
          <w:p w14:paraId="37ACA63C" w14:textId="77777777" w:rsidR="004A28E0" w:rsidRPr="00FF4480"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44AECD6E" w14:textId="77777777" w:rsidR="004A28E0" w:rsidRDefault="0027294F" w:rsidP="0027294F">
            <w:pPr>
              <w:rPr>
                <w:rFonts w:ascii="Times New Roman" w:hAnsi="Times New Roman" w:cs="Times New Roman"/>
                <w:sz w:val="20"/>
              </w:rPr>
            </w:pPr>
            <w:r>
              <w:rPr>
                <w:rFonts w:ascii="Times New Roman" w:hAnsi="Times New Roman" w:cs="Times New Roman"/>
                <w:sz w:val="20"/>
              </w:rPr>
              <w:t>Art. 3 pkt 2f</w:t>
            </w:r>
          </w:p>
          <w:p w14:paraId="757221BD" w14:textId="1B9FF596" w:rsidR="00D05D22" w:rsidRPr="00FF4480" w:rsidRDefault="00D05D22" w:rsidP="0027294F">
            <w:pPr>
              <w:rPr>
                <w:rFonts w:ascii="Times New Roman" w:hAnsi="Times New Roman" w:cs="Times New Roman"/>
                <w:sz w:val="20"/>
              </w:rPr>
            </w:pPr>
            <w:r>
              <w:rPr>
                <w:rFonts w:ascii="Times New Roman" w:hAnsi="Times New Roman" w:cs="Times New Roman"/>
                <w:sz w:val="20"/>
              </w:rPr>
              <w:t>ustawy nowelizowanej</w:t>
            </w:r>
          </w:p>
        </w:tc>
        <w:tc>
          <w:tcPr>
            <w:tcW w:w="2835" w:type="dxa"/>
            <w:vAlign w:val="center"/>
          </w:tcPr>
          <w:p w14:paraId="55557666" w14:textId="77777777" w:rsidR="004A28E0" w:rsidRDefault="0027294F" w:rsidP="004A28E0">
            <w:pPr>
              <w:jc w:val="both"/>
              <w:rPr>
                <w:rFonts w:ascii="Times New Roman" w:hAnsi="Times New Roman" w:cs="Times New Roman"/>
                <w:sz w:val="20"/>
              </w:rPr>
            </w:pPr>
            <w:r>
              <w:rPr>
                <w:rFonts w:ascii="Times New Roman" w:hAnsi="Times New Roman" w:cs="Times New Roman"/>
                <w:sz w:val="20"/>
              </w:rPr>
              <w:t>Izba Architektów RP</w:t>
            </w:r>
          </w:p>
          <w:p w14:paraId="3685369D" w14:textId="292D30B8" w:rsidR="00324062" w:rsidRPr="00FF4480" w:rsidRDefault="00324062" w:rsidP="004A28E0">
            <w:pPr>
              <w:jc w:val="both"/>
              <w:rPr>
                <w:rFonts w:ascii="Times New Roman" w:hAnsi="Times New Roman" w:cs="Times New Roman"/>
                <w:sz w:val="20"/>
              </w:rPr>
            </w:pPr>
          </w:p>
        </w:tc>
        <w:tc>
          <w:tcPr>
            <w:tcW w:w="8477" w:type="dxa"/>
            <w:vAlign w:val="center"/>
          </w:tcPr>
          <w:p w14:paraId="2F8CEEB1" w14:textId="389134ED" w:rsidR="004A28E0" w:rsidRPr="00FF4480" w:rsidRDefault="0027294F" w:rsidP="004A28E0">
            <w:pPr>
              <w:jc w:val="both"/>
              <w:rPr>
                <w:rFonts w:ascii="Times New Roman" w:hAnsi="Times New Roman" w:cs="Times New Roman"/>
                <w:sz w:val="20"/>
              </w:rPr>
            </w:pPr>
            <w:r w:rsidRPr="00060C94">
              <w:rPr>
                <w:rFonts w:ascii="Times New Roman" w:hAnsi="Times New Roman" w:cs="Times New Roman"/>
                <w:sz w:val="20"/>
              </w:rPr>
              <w:t xml:space="preserve">W art. 3 pkt 2f </w:t>
            </w:r>
            <w:r w:rsidR="00F553FC">
              <w:rPr>
                <w:rFonts w:ascii="Times New Roman" w:hAnsi="Times New Roman" w:cs="Times New Roman"/>
                <w:sz w:val="20"/>
              </w:rPr>
              <w:t>zaproponowano dodanie</w:t>
            </w:r>
            <w:r>
              <w:rPr>
                <w:rFonts w:ascii="Times New Roman" w:hAnsi="Times New Roman" w:cs="Times New Roman"/>
                <w:sz w:val="20"/>
              </w:rPr>
              <w:t xml:space="preserve"> definicj</w:t>
            </w:r>
            <w:r w:rsidR="00F553FC">
              <w:rPr>
                <w:rFonts w:ascii="Times New Roman" w:hAnsi="Times New Roman" w:cs="Times New Roman"/>
                <w:sz w:val="20"/>
              </w:rPr>
              <w:t>i</w:t>
            </w:r>
            <w:r>
              <w:rPr>
                <w:rFonts w:ascii="Times New Roman" w:hAnsi="Times New Roman" w:cs="Times New Roman"/>
                <w:sz w:val="20"/>
              </w:rPr>
              <w:t xml:space="preserve"> „budynku zamieszkania zbiorowego”. W katalogu obiektów mieszczących się w tej definicji wskazano m.in. „hotel apartamentowy”. Proponuje się usuniecie z definicji „hotelów apartamentowych”. Nie istnieje definicja legalna tego typu obiektów. Wprowadzenie hotelów apartamentowych do definicji budynków zamieszkania zbiorowego może spowodować nadużycia i nie znajduje żadnego uzasadnienia merytorycznego.</w:t>
            </w:r>
            <w:r w:rsidR="00473EA9">
              <w:rPr>
                <w:rFonts w:ascii="Times New Roman" w:hAnsi="Times New Roman" w:cs="Times New Roman"/>
                <w:sz w:val="20"/>
              </w:rPr>
              <w:t xml:space="preserve"> </w:t>
            </w:r>
            <w:r w:rsidR="00473EA9" w:rsidRPr="00473EA9">
              <w:rPr>
                <w:rFonts w:ascii="Times New Roman" w:hAnsi="Times New Roman" w:cs="Times New Roman"/>
                <w:sz w:val="20"/>
              </w:rPr>
              <w:t xml:space="preserve">Definicja budynku zamieszkania zbiorowego powinna mieć w miarę możliwości jednoznaczna. To na tych obiektach </w:t>
            </w:r>
            <w:r w:rsidR="00473EA9" w:rsidRPr="00473EA9">
              <w:rPr>
                <w:rFonts w:ascii="Times New Roman" w:hAnsi="Times New Roman" w:cs="Times New Roman"/>
                <w:sz w:val="20"/>
              </w:rPr>
              <w:lastRenderedPageBreak/>
              <w:t xml:space="preserve">powstaje zdecydowana większość lokali inwestycyjnych a ponieważ mają o wiele mniejsze wymagania niż budynki mieszkalne to właśnie są najbardziej drastyczne przykłady </w:t>
            </w:r>
            <w:proofErr w:type="spellStart"/>
            <w:r w:rsidR="00473EA9" w:rsidRPr="00473EA9">
              <w:rPr>
                <w:rFonts w:ascii="Times New Roman" w:hAnsi="Times New Roman" w:cs="Times New Roman"/>
                <w:sz w:val="20"/>
              </w:rPr>
              <w:t>patodeweloperki</w:t>
            </w:r>
            <w:proofErr w:type="spellEnd"/>
            <w:r w:rsidR="00473EA9" w:rsidRPr="00473EA9">
              <w:rPr>
                <w:rFonts w:ascii="Times New Roman" w:hAnsi="Times New Roman" w:cs="Times New Roman"/>
                <w:sz w:val="20"/>
              </w:rPr>
              <w:t>.</w:t>
            </w:r>
            <w:r w:rsidR="00BE79C3">
              <w:rPr>
                <w:rFonts w:ascii="Times New Roman" w:hAnsi="Times New Roman" w:cs="Times New Roman"/>
                <w:sz w:val="20"/>
              </w:rPr>
              <w:t xml:space="preserve">  </w:t>
            </w:r>
          </w:p>
        </w:tc>
      </w:tr>
      <w:tr w:rsidR="004A28E0" w:rsidRPr="00FF4480" w14:paraId="708BCAC1" w14:textId="77777777" w:rsidTr="00A1326C">
        <w:trPr>
          <w:jc w:val="center"/>
        </w:trPr>
        <w:tc>
          <w:tcPr>
            <w:tcW w:w="594" w:type="dxa"/>
          </w:tcPr>
          <w:p w14:paraId="416AB25E" w14:textId="77777777" w:rsidR="004A28E0" w:rsidRPr="00FF4480"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7B37FECF" w14:textId="77777777" w:rsidR="004A28E0" w:rsidRDefault="0027294F" w:rsidP="004A28E0">
            <w:pPr>
              <w:jc w:val="both"/>
              <w:rPr>
                <w:rFonts w:ascii="Times New Roman" w:hAnsi="Times New Roman" w:cs="Times New Roman"/>
                <w:sz w:val="20"/>
              </w:rPr>
            </w:pPr>
            <w:r>
              <w:rPr>
                <w:rFonts w:ascii="Times New Roman" w:hAnsi="Times New Roman" w:cs="Times New Roman"/>
                <w:sz w:val="20"/>
              </w:rPr>
              <w:t>Art. 3 pkt 2e oraz 2f</w:t>
            </w:r>
          </w:p>
          <w:p w14:paraId="35498A2E" w14:textId="40DEDF1F" w:rsidR="00D05D22" w:rsidRPr="00FF4480" w:rsidRDefault="00D05D22" w:rsidP="004A28E0">
            <w:pPr>
              <w:jc w:val="both"/>
              <w:rPr>
                <w:rFonts w:ascii="Times New Roman" w:hAnsi="Times New Roman" w:cs="Times New Roman"/>
                <w:sz w:val="20"/>
              </w:rPr>
            </w:pPr>
            <w:r w:rsidRPr="00D05D22">
              <w:rPr>
                <w:rFonts w:ascii="Times New Roman" w:hAnsi="Times New Roman" w:cs="Times New Roman"/>
                <w:sz w:val="20"/>
              </w:rPr>
              <w:t>ustawy nowelizowanej</w:t>
            </w:r>
          </w:p>
        </w:tc>
        <w:tc>
          <w:tcPr>
            <w:tcW w:w="2835" w:type="dxa"/>
            <w:vAlign w:val="center"/>
          </w:tcPr>
          <w:p w14:paraId="5D4DEE2C" w14:textId="77777777" w:rsidR="004A28E0" w:rsidRDefault="0027294F" w:rsidP="004A28E0">
            <w:pPr>
              <w:jc w:val="both"/>
              <w:rPr>
                <w:rFonts w:ascii="Times New Roman" w:hAnsi="Times New Roman" w:cs="Times New Roman"/>
                <w:sz w:val="20"/>
              </w:rPr>
            </w:pPr>
            <w:r>
              <w:rPr>
                <w:rFonts w:ascii="Times New Roman" w:hAnsi="Times New Roman" w:cs="Times New Roman"/>
                <w:sz w:val="20"/>
              </w:rPr>
              <w:t>Izba Architektów RP</w:t>
            </w:r>
          </w:p>
          <w:p w14:paraId="6146CBDE" w14:textId="45B2BAF7" w:rsidR="00324062" w:rsidRPr="00FF4480" w:rsidRDefault="00324062" w:rsidP="004A28E0">
            <w:pPr>
              <w:jc w:val="both"/>
              <w:rPr>
                <w:rFonts w:ascii="Times New Roman" w:hAnsi="Times New Roman" w:cs="Times New Roman"/>
                <w:sz w:val="20"/>
              </w:rPr>
            </w:pPr>
          </w:p>
        </w:tc>
        <w:tc>
          <w:tcPr>
            <w:tcW w:w="8477" w:type="dxa"/>
            <w:vAlign w:val="center"/>
          </w:tcPr>
          <w:p w14:paraId="44F571EF" w14:textId="77777777" w:rsidR="0027294F" w:rsidRDefault="0027294F" w:rsidP="0027294F">
            <w:pPr>
              <w:jc w:val="both"/>
              <w:rPr>
                <w:rFonts w:ascii="Times New Roman" w:hAnsi="Times New Roman" w:cs="Times New Roman"/>
                <w:sz w:val="20"/>
              </w:rPr>
            </w:pPr>
            <w:r w:rsidRPr="0027294F">
              <w:rPr>
                <w:rFonts w:ascii="Times New Roman" w:hAnsi="Times New Roman" w:cs="Times New Roman"/>
                <w:sz w:val="20"/>
              </w:rPr>
              <w:t>Budynek socjalny jest związany z zamieszkaniem zbiorowym</w:t>
            </w:r>
            <w:r>
              <w:rPr>
                <w:rFonts w:ascii="Times New Roman" w:hAnsi="Times New Roman" w:cs="Times New Roman"/>
                <w:sz w:val="20"/>
              </w:rPr>
              <w:t>, stąd proponuje się wyrazy „lub socjalny” zamieścić w definicji budynku zamieszkania zbiorowego, zaś w</w:t>
            </w:r>
            <w:r w:rsidRPr="0027294F">
              <w:rPr>
                <w:rFonts w:ascii="Times New Roman" w:hAnsi="Times New Roman" w:cs="Times New Roman"/>
                <w:sz w:val="20"/>
              </w:rPr>
              <w:t xml:space="preserve"> art.</w:t>
            </w:r>
            <w:r>
              <w:rPr>
                <w:rFonts w:ascii="Times New Roman" w:hAnsi="Times New Roman" w:cs="Times New Roman"/>
                <w:sz w:val="20"/>
              </w:rPr>
              <w:t xml:space="preserve"> </w:t>
            </w:r>
            <w:r w:rsidRPr="0027294F">
              <w:rPr>
                <w:rFonts w:ascii="Times New Roman" w:hAnsi="Times New Roman" w:cs="Times New Roman"/>
                <w:sz w:val="20"/>
              </w:rPr>
              <w:t xml:space="preserve">3 w pkt. 2e proponuję </w:t>
            </w:r>
            <w:r>
              <w:rPr>
                <w:rFonts w:ascii="Times New Roman" w:hAnsi="Times New Roman" w:cs="Times New Roman"/>
                <w:sz w:val="20"/>
              </w:rPr>
              <w:t xml:space="preserve">się </w:t>
            </w:r>
            <w:r w:rsidRPr="0027294F">
              <w:rPr>
                <w:rFonts w:ascii="Times New Roman" w:hAnsi="Times New Roman" w:cs="Times New Roman"/>
                <w:sz w:val="20"/>
              </w:rPr>
              <w:t xml:space="preserve">wykreślić </w:t>
            </w:r>
            <w:r>
              <w:rPr>
                <w:rFonts w:ascii="Times New Roman" w:hAnsi="Times New Roman" w:cs="Times New Roman"/>
                <w:sz w:val="20"/>
              </w:rPr>
              <w:t>wyrazy</w:t>
            </w:r>
            <w:r w:rsidRPr="0027294F">
              <w:rPr>
                <w:rFonts w:ascii="Times New Roman" w:hAnsi="Times New Roman" w:cs="Times New Roman"/>
                <w:sz w:val="20"/>
              </w:rPr>
              <w:t xml:space="preserve"> „lub socjalny”</w:t>
            </w:r>
            <w:r>
              <w:rPr>
                <w:rFonts w:ascii="Times New Roman" w:hAnsi="Times New Roman" w:cs="Times New Roman"/>
                <w:sz w:val="20"/>
              </w:rPr>
              <w:t>. Propozycja zapisu:</w:t>
            </w:r>
          </w:p>
          <w:p w14:paraId="7407F696" w14:textId="03624797" w:rsidR="004A28E0" w:rsidRPr="00FF4480" w:rsidRDefault="0027294F" w:rsidP="0027294F">
            <w:pPr>
              <w:jc w:val="both"/>
              <w:rPr>
                <w:rFonts w:ascii="Times New Roman" w:hAnsi="Times New Roman" w:cs="Times New Roman"/>
                <w:sz w:val="20"/>
              </w:rPr>
            </w:pPr>
            <w:r>
              <w:rPr>
                <w:rFonts w:ascii="Times New Roman" w:hAnsi="Times New Roman" w:cs="Times New Roman"/>
                <w:sz w:val="20"/>
              </w:rPr>
              <w:t>„</w:t>
            </w:r>
            <w:r w:rsidRPr="0027294F">
              <w:rPr>
                <w:rFonts w:ascii="Times New Roman" w:hAnsi="Times New Roman" w:cs="Times New Roman"/>
                <w:sz w:val="20"/>
              </w:rPr>
              <w:t xml:space="preserve">budynku zamieszkania zbiorowego – należy przez to rozumieć budynek przeznaczony do okresowego pobytu ludzi, w szczególności hotel, </w:t>
            </w:r>
            <w:r w:rsidRPr="0027294F">
              <w:rPr>
                <w:rFonts w:ascii="Times New Roman" w:hAnsi="Times New Roman" w:cs="Times New Roman"/>
                <w:strike/>
                <w:color w:val="FF0000"/>
                <w:sz w:val="20"/>
              </w:rPr>
              <w:t>hotel apartamentowy</w:t>
            </w:r>
            <w:r w:rsidRPr="0027294F">
              <w:rPr>
                <w:rFonts w:ascii="Times New Roman" w:hAnsi="Times New Roman" w:cs="Times New Roman"/>
                <w:sz w:val="20"/>
              </w:rPr>
              <w:t xml:space="preserve">,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rencisty i dom zakonny lub inny budynek pełniący podobne funkcje </w:t>
            </w:r>
            <w:r w:rsidRPr="0027294F">
              <w:rPr>
                <w:rFonts w:ascii="Times New Roman" w:hAnsi="Times New Roman" w:cs="Times New Roman"/>
                <w:color w:val="0070C0"/>
                <w:sz w:val="20"/>
              </w:rPr>
              <w:t>lub socjalny</w:t>
            </w:r>
            <w:r>
              <w:rPr>
                <w:rFonts w:ascii="Times New Roman" w:hAnsi="Times New Roman" w:cs="Times New Roman"/>
                <w:sz w:val="20"/>
              </w:rPr>
              <w:t xml:space="preserve">;”    </w:t>
            </w:r>
          </w:p>
        </w:tc>
      </w:tr>
      <w:tr w:rsidR="001B33F4" w:rsidRPr="00FF4480" w14:paraId="41706E3E" w14:textId="77777777" w:rsidTr="00A1326C">
        <w:trPr>
          <w:jc w:val="center"/>
        </w:trPr>
        <w:tc>
          <w:tcPr>
            <w:tcW w:w="594" w:type="dxa"/>
          </w:tcPr>
          <w:p w14:paraId="127E8644" w14:textId="77777777" w:rsidR="001B33F4" w:rsidRPr="00FF4480" w:rsidRDefault="001B33F4"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1AF1A0DE" w14:textId="2E92964C" w:rsidR="001B33F4" w:rsidRDefault="001B33F4" w:rsidP="001B33F4">
            <w:pPr>
              <w:rPr>
                <w:rFonts w:ascii="Times New Roman" w:hAnsi="Times New Roman" w:cs="Times New Roman"/>
                <w:sz w:val="20"/>
              </w:rPr>
            </w:pPr>
            <w:r w:rsidRPr="001B33F4">
              <w:rPr>
                <w:rFonts w:ascii="Times New Roman" w:hAnsi="Times New Roman" w:cs="Times New Roman"/>
                <w:sz w:val="20"/>
              </w:rPr>
              <w:t>Art. 3 ustawy nowelizowanej</w:t>
            </w:r>
          </w:p>
        </w:tc>
        <w:tc>
          <w:tcPr>
            <w:tcW w:w="2835" w:type="dxa"/>
            <w:vAlign w:val="center"/>
          </w:tcPr>
          <w:p w14:paraId="42B52709" w14:textId="79AB0AB7" w:rsidR="001B33F4" w:rsidRDefault="005F0D28" w:rsidP="004A28E0">
            <w:pPr>
              <w:jc w:val="both"/>
              <w:rPr>
                <w:rFonts w:ascii="Times New Roman" w:hAnsi="Times New Roman" w:cs="Times New Roman"/>
                <w:sz w:val="20"/>
              </w:rPr>
            </w:pPr>
            <w:r w:rsidRPr="005F0D28">
              <w:rPr>
                <w:rFonts w:ascii="Times New Roman" w:hAnsi="Times New Roman" w:cs="Times New Roman"/>
                <w:sz w:val="20"/>
              </w:rPr>
              <w:t>Izba Architektów RP</w:t>
            </w:r>
          </w:p>
        </w:tc>
        <w:tc>
          <w:tcPr>
            <w:tcW w:w="8477" w:type="dxa"/>
            <w:vAlign w:val="center"/>
          </w:tcPr>
          <w:p w14:paraId="3AA75B90" w14:textId="689E0784" w:rsidR="001B33F4" w:rsidRPr="0027294F" w:rsidRDefault="001B33F4" w:rsidP="0027294F">
            <w:pPr>
              <w:jc w:val="both"/>
              <w:rPr>
                <w:rFonts w:ascii="Times New Roman" w:hAnsi="Times New Roman" w:cs="Times New Roman"/>
                <w:sz w:val="20"/>
              </w:rPr>
            </w:pPr>
            <w:r w:rsidRPr="001B33F4">
              <w:rPr>
                <w:rFonts w:ascii="Times New Roman" w:hAnsi="Times New Roman" w:cs="Times New Roman"/>
                <w:sz w:val="20"/>
              </w:rPr>
              <w:t>Brak jest definicji tarasu</w:t>
            </w:r>
            <w:r>
              <w:rPr>
                <w:rFonts w:ascii="Times New Roman" w:hAnsi="Times New Roman" w:cs="Times New Roman"/>
                <w:sz w:val="20"/>
              </w:rPr>
              <w:t xml:space="preserve"> i altany</w:t>
            </w:r>
            <w:r w:rsidRPr="001B33F4">
              <w:rPr>
                <w:rFonts w:ascii="Times New Roman" w:hAnsi="Times New Roman" w:cs="Times New Roman"/>
                <w:sz w:val="20"/>
              </w:rPr>
              <w:t>. Czym różni się taras od utwardzenia terenu? Jeśli mamy wyłożony płytkami fragment terenu zlokalizowany na poziomie gruntu przy domu jednorodzinnym</w:t>
            </w:r>
            <w:r>
              <w:rPr>
                <w:rFonts w:ascii="Times New Roman" w:hAnsi="Times New Roman" w:cs="Times New Roman"/>
                <w:sz w:val="20"/>
              </w:rPr>
              <w:t>,</w:t>
            </w:r>
            <w:r w:rsidRPr="001B33F4">
              <w:rPr>
                <w:rFonts w:ascii="Times New Roman" w:hAnsi="Times New Roman" w:cs="Times New Roman"/>
                <w:sz w:val="20"/>
              </w:rPr>
              <w:t xml:space="preserve"> na który wychodzimy z pokoju dziennego, mamy tam stół i parasol, to jest to taras czy utwardzenie terenu?</w:t>
            </w:r>
            <w:r w:rsidR="00736637">
              <w:rPr>
                <w:rFonts w:ascii="Times New Roman" w:hAnsi="Times New Roman" w:cs="Times New Roman"/>
                <w:sz w:val="20"/>
              </w:rPr>
              <w:t xml:space="preserve">  </w:t>
            </w:r>
          </w:p>
        </w:tc>
      </w:tr>
      <w:tr w:rsidR="004A28E0" w:rsidRPr="00060C94" w14:paraId="2C92D4C5" w14:textId="77777777" w:rsidTr="00A1326C">
        <w:trPr>
          <w:jc w:val="center"/>
        </w:trPr>
        <w:tc>
          <w:tcPr>
            <w:tcW w:w="594" w:type="dxa"/>
          </w:tcPr>
          <w:p w14:paraId="3DEE4E77" w14:textId="77777777" w:rsidR="004A28E0" w:rsidRPr="00FF4480"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7BA3A802" w14:textId="77777777" w:rsidR="004A28E0" w:rsidRDefault="0027294F" w:rsidP="004A28E0">
            <w:pPr>
              <w:jc w:val="both"/>
              <w:rPr>
                <w:rFonts w:ascii="Times New Roman" w:hAnsi="Times New Roman" w:cs="Times New Roman"/>
                <w:sz w:val="20"/>
              </w:rPr>
            </w:pPr>
            <w:r>
              <w:rPr>
                <w:rFonts w:ascii="Times New Roman" w:hAnsi="Times New Roman" w:cs="Times New Roman"/>
                <w:sz w:val="20"/>
              </w:rPr>
              <w:t>Art. 3 pkt 5b</w:t>
            </w:r>
          </w:p>
          <w:p w14:paraId="7A450AE9" w14:textId="7CFAF1BB" w:rsidR="00D05D22" w:rsidRPr="00FF4480" w:rsidRDefault="00D05D22" w:rsidP="004A28E0">
            <w:pPr>
              <w:jc w:val="both"/>
              <w:rPr>
                <w:rFonts w:ascii="Times New Roman" w:hAnsi="Times New Roman" w:cs="Times New Roman"/>
                <w:sz w:val="20"/>
              </w:rPr>
            </w:pPr>
            <w:r>
              <w:rPr>
                <w:rFonts w:ascii="Times New Roman" w:hAnsi="Times New Roman" w:cs="Times New Roman"/>
                <w:sz w:val="20"/>
              </w:rPr>
              <w:t>ustawy nowelizowanej</w:t>
            </w:r>
          </w:p>
        </w:tc>
        <w:tc>
          <w:tcPr>
            <w:tcW w:w="2835" w:type="dxa"/>
            <w:vAlign w:val="center"/>
          </w:tcPr>
          <w:p w14:paraId="54A5451F" w14:textId="77777777" w:rsidR="004A28E0" w:rsidRDefault="0027294F" w:rsidP="004A28E0">
            <w:pPr>
              <w:jc w:val="both"/>
              <w:rPr>
                <w:rFonts w:ascii="Times New Roman" w:hAnsi="Times New Roman" w:cs="Times New Roman"/>
                <w:sz w:val="20"/>
              </w:rPr>
            </w:pPr>
            <w:r>
              <w:rPr>
                <w:rFonts w:ascii="Times New Roman" w:hAnsi="Times New Roman" w:cs="Times New Roman"/>
                <w:sz w:val="20"/>
              </w:rPr>
              <w:t>Izba Architektów RP</w:t>
            </w:r>
          </w:p>
          <w:p w14:paraId="45C08B20" w14:textId="31C711FB" w:rsidR="00324062" w:rsidRPr="00FF4480" w:rsidRDefault="00324062" w:rsidP="004A28E0">
            <w:pPr>
              <w:jc w:val="both"/>
              <w:rPr>
                <w:rFonts w:ascii="Times New Roman" w:hAnsi="Times New Roman" w:cs="Times New Roman"/>
                <w:sz w:val="20"/>
              </w:rPr>
            </w:pPr>
          </w:p>
        </w:tc>
        <w:tc>
          <w:tcPr>
            <w:tcW w:w="8477" w:type="dxa"/>
            <w:vAlign w:val="center"/>
          </w:tcPr>
          <w:p w14:paraId="27A89AF3" w14:textId="040788D6" w:rsidR="00641B86" w:rsidRDefault="00641B86" w:rsidP="0027294F">
            <w:pPr>
              <w:jc w:val="both"/>
              <w:rPr>
                <w:rFonts w:ascii="Times New Roman" w:hAnsi="Times New Roman" w:cs="Times New Roman"/>
                <w:sz w:val="20"/>
              </w:rPr>
            </w:pPr>
            <w:r w:rsidRPr="00641B86">
              <w:rPr>
                <w:rFonts w:ascii="Times New Roman" w:hAnsi="Times New Roman" w:cs="Times New Roman"/>
                <w:sz w:val="20"/>
              </w:rPr>
              <w:t xml:space="preserve">Definicja wiaty (pkt 5b) zawiera informację, że wiata wspiera się na słupach. </w:t>
            </w:r>
            <w:r>
              <w:rPr>
                <w:rFonts w:ascii="Times New Roman" w:hAnsi="Times New Roman" w:cs="Times New Roman"/>
                <w:sz w:val="20"/>
              </w:rPr>
              <w:t xml:space="preserve">Jednak należy uwzględnić wiaty </w:t>
            </w:r>
            <w:r w:rsidRPr="00641B86">
              <w:rPr>
                <w:rFonts w:ascii="Times New Roman" w:hAnsi="Times New Roman" w:cs="Times New Roman"/>
                <w:sz w:val="20"/>
              </w:rPr>
              <w:t xml:space="preserve">np. na dwóch równoległych ścianach </w:t>
            </w:r>
            <w:r>
              <w:rPr>
                <w:rFonts w:ascii="Times New Roman" w:hAnsi="Times New Roman" w:cs="Times New Roman"/>
                <w:sz w:val="20"/>
              </w:rPr>
              <w:t xml:space="preserve">oraz </w:t>
            </w:r>
            <w:r w:rsidRPr="00641B86">
              <w:rPr>
                <w:rFonts w:ascii="Times New Roman" w:hAnsi="Times New Roman" w:cs="Times New Roman"/>
                <w:sz w:val="20"/>
              </w:rPr>
              <w:t>wiat</w:t>
            </w:r>
            <w:r>
              <w:rPr>
                <w:rFonts w:ascii="Times New Roman" w:hAnsi="Times New Roman" w:cs="Times New Roman"/>
                <w:sz w:val="20"/>
              </w:rPr>
              <w:t>y</w:t>
            </w:r>
            <w:r w:rsidRPr="00641B86">
              <w:rPr>
                <w:rFonts w:ascii="Times New Roman" w:hAnsi="Times New Roman" w:cs="Times New Roman"/>
                <w:sz w:val="20"/>
              </w:rPr>
              <w:t>, któr</w:t>
            </w:r>
            <w:r>
              <w:rPr>
                <w:rFonts w:ascii="Times New Roman" w:hAnsi="Times New Roman" w:cs="Times New Roman"/>
                <w:sz w:val="20"/>
              </w:rPr>
              <w:t>ych</w:t>
            </w:r>
            <w:r w:rsidRPr="00641B86">
              <w:rPr>
                <w:rFonts w:ascii="Times New Roman" w:hAnsi="Times New Roman" w:cs="Times New Roman"/>
                <w:sz w:val="20"/>
              </w:rPr>
              <w:t xml:space="preserve"> jeden bok stanowi ściana</w:t>
            </w:r>
            <w:r>
              <w:rPr>
                <w:rFonts w:ascii="Times New Roman" w:hAnsi="Times New Roman" w:cs="Times New Roman"/>
                <w:sz w:val="20"/>
              </w:rPr>
              <w:t>,</w:t>
            </w:r>
            <w:r w:rsidRPr="00641B86">
              <w:rPr>
                <w:rFonts w:ascii="Times New Roman" w:hAnsi="Times New Roman" w:cs="Times New Roman"/>
                <w:sz w:val="20"/>
              </w:rPr>
              <w:t xml:space="preserve"> a drugi bok wsparty jest na słupach (np. tak często wyglądają wiaty przystankowe?</w:t>
            </w:r>
            <w:r>
              <w:rPr>
                <w:rFonts w:ascii="Times New Roman" w:hAnsi="Times New Roman" w:cs="Times New Roman"/>
                <w:sz w:val="20"/>
              </w:rPr>
              <w:t>)</w:t>
            </w:r>
            <w:r w:rsidRPr="00641B86">
              <w:rPr>
                <w:rFonts w:ascii="Times New Roman" w:hAnsi="Times New Roman" w:cs="Times New Roman"/>
                <w:sz w:val="20"/>
              </w:rPr>
              <w:t xml:space="preserve"> Co w przypadku, gdy ściany wiaty tworzą kształt litery C (tak też bardzo często wyglądają wiaty przystankowe)? Jaką proporcję boków ma słup i przy jakiej proporcji należy go już uznać za ścianę?</w:t>
            </w:r>
          </w:p>
          <w:p w14:paraId="1441B3FC" w14:textId="70AC93A2" w:rsidR="00641B86" w:rsidRDefault="0027294F" w:rsidP="0027294F">
            <w:pPr>
              <w:jc w:val="both"/>
              <w:rPr>
                <w:rFonts w:ascii="Times New Roman" w:hAnsi="Times New Roman" w:cs="Times New Roman"/>
                <w:sz w:val="20"/>
              </w:rPr>
            </w:pPr>
            <w:r w:rsidRPr="0027294F">
              <w:rPr>
                <w:rFonts w:ascii="Times New Roman" w:hAnsi="Times New Roman" w:cs="Times New Roman"/>
                <w:sz w:val="20"/>
              </w:rPr>
              <w:t>Propozycja zapisu</w:t>
            </w:r>
            <w:r>
              <w:rPr>
                <w:rFonts w:ascii="Times New Roman" w:hAnsi="Times New Roman" w:cs="Times New Roman"/>
                <w:sz w:val="20"/>
              </w:rPr>
              <w:t xml:space="preserve">: </w:t>
            </w:r>
          </w:p>
          <w:p w14:paraId="06A6157B" w14:textId="784D5AAB" w:rsidR="004A28E0" w:rsidRPr="00060C94" w:rsidRDefault="0027294F" w:rsidP="0027294F">
            <w:pPr>
              <w:jc w:val="both"/>
              <w:rPr>
                <w:rFonts w:ascii="Times New Roman" w:hAnsi="Times New Roman" w:cs="Times New Roman"/>
                <w:sz w:val="20"/>
              </w:rPr>
            </w:pPr>
            <w:r>
              <w:rPr>
                <w:rFonts w:ascii="Times New Roman" w:hAnsi="Times New Roman" w:cs="Times New Roman"/>
                <w:sz w:val="20"/>
              </w:rPr>
              <w:t>„</w:t>
            </w:r>
            <w:r w:rsidRPr="0027294F">
              <w:rPr>
                <w:rFonts w:ascii="Times New Roman" w:hAnsi="Times New Roman" w:cs="Times New Roman"/>
                <w:sz w:val="20"/>
              </w:rPr>
              <w:t>5b)</w:t>
            </w:r>
            <w:r>
              <w:rPr>
                <w:rFonts w:ascii="Times New Roman" w:hAnsi="Times New Roman" w:cs="Times New Roman"/>
                <w:sz w:val="20"/>
              </w:rPr>
              <w:t xml:space="preserve"> </w:t>
            </w:r>
            <w:r w:rsidRPr="0027294F">
              <w:rPr>
                <w:rFonts w:ascii="Times New Roman" w:hAnsi="Times New Roman" w:cs="Times New Roman"/>
                <w:sz w:val="20"/>
              </w:rPr>
              <w:t>wiacie -</w:t>
            </w:r>
            <w:r w:rsidR="00AA4D6F">
              <w:t xml:space="preserve"> </w:t>
            </w:r>
            <w:r w:rsidR="00AA4D6F" w:rsidRPr="00AA4D6F">
              <w:rPr>
                <w:rFonts w:ascii="Times New Roman" w:hAnsi="Times New Roman" w:cs="Times New Roman"/>
                <w:sz w:val="20"/>
              </w:rPr>
              <w:t>należy przez to rozumieć budowlę, która jest trwale związana z gruntem, składającą się z konstrukcji dachowej wspartej na słupkach</w:t>
            </w:r>
            <w:r w:rsidR="001B33F4">
              <w:rPr>
                <w:rFonts w:ascii="Times New Roman" w:hAnsi="Times New Roman" w:cs="Times New Roman"/>
                <w:sz w:val="20"/>
              </w:rPr>
              <w:t xml:space="preserve"> </w:t>
            </w:r>
            <w:r w:rsidR="001B33F4" w:rsidRPr="001B33F4">
              <w:rPr>
                <w:rFonts w:ascii="Times New Roman" w:hAnsi="Times New Roman" w:cs="Times New Roman"/>
                <w:color w:val="4F81BD" w:themeColor="accent1"/>
                <w:sz w:val="20"/>
              </w:rPr>
              <w:t>lub innych elementach budowlanych</w:t>
            </w:r>
            <w:r w:rsidR="00AA4D6F" w:rsidRPr="00AA4D6F">
              <w:rPr>
                <w:rFonts w:ascii="Times New Roman" w:hAnsi="Times New Roman" w:cs="Times New Roman"/>
                <w:sz w:val="20"/>
              </w:rPr>
              <w:t>, nie w pełni wydzieloną z przestrzeni za pomocą przegród budowlanych</w:t>
            </w:r>
            <w:r w:rsidR="00AA4D6F">
              <w:rPr>
                <w:rFonts w:ascii="Times New Roman" w:hAnsi="Times New Roman" w:cs="Times New Roman"/>
                <w:sz w:val="20"/>
              </w:rPr>
              <w:t xml:space="preserve">, </w:t>
            </w:r>
            <w:r w:rsidR="00AA4D6F" w:rsidRPr="00641B86">
              <w:rPr>
                <w:rFonts w:ascii="Times New Roman" w:hAnsi="Times New Roman" w:cs="Times New Roman"/>
                <w:color w:val="4F81BD" w:themeColor="accent1"/>
                <w:sz w:val="20"/>
              </w:rPr>
              <w:t>której cechą charakterystyczną jest jej powierzchnia zadaszenia</w:t>
            </w:r>
            <w:r w:rsidR="003D494D">
              <w:rPr>
                <w:rFonts w:ascii="Times New Roman" w:hAnsi="Times New Roman" w:cs="Times New Roman"/>
                <w:sz w:val="20"/>
              </w:rPr>
              <w:t>”</w:t>
            </w:r>
            <w:r w:rsidR="00AA4D6F">
              <w:rPr>
                <w:rFonts w:ascii="Times New Roman" w:hAnsi="Times New Roman" w:cs="Times New Roman"/>
                <w:sz w:val="20"/>
              </w:rPr>
              <w:t>.</w:t>
            </w:r>
            <w:r w:rsidR="003D494D">
              <w:rPr>
                <w:rFonts w:ascii="Times New Roman" w:hAnsi="Times New Roman" w:cs="Times New Roman"/>
                <w:sz w:val="20"/>
              </w:rPr>
              <w:t xml:space="preserve">  </w:t>
            </w:r>
            <w:r w:rsidR="00AA4D6F">
              <w:rPr>
                <w:rFonts w:ascii="Times New Roman" w:hAnsi="Times New Roman" w:cs="Times New Roman"/>
                <w:sz w:val="20"/>
              </w:rPr>
              <w:t xml:space="preserve">  </w:t>
            </w:r>
            <w:r w:rsidR="00641B86">
              <w:rPr>
                <w:rFonts w:ascii="Times New Roman" w:hAnsi="Times New Roman" w:cs="Times New Roman"/>
                <w:sz w:val="20"/>
              </w:rPr>
              <w:t xml:space="preserve">  </w:t>
            </w:r>
            <w:r w:rsidR="00374F45">
              <w:rPr>
                <w:rFonts w:ascii="Times New Roman" w:hAnsi="Times New Roman" w:cs="Times New Roman"/>
                <w:sz w:val="20"/>
              </w:rPr>
              <w:t xml:space="preserve">  </w:t>
            </w:r>
          </w:p>
        </w:tc>
      </w:tr>
      <w:tr w:rsidR="004A28E0" w:rsidRPr="00060C94" w14:paraId="6D4A28F9" w14:textId="77777777" w:rsidTr="00A1326C">
        <w:trPr>
          <w:jc w:val="center"/>
        </w:trPr>
        <w:tc>
          <w:tcPr>
            <w:tcW w:w="594" w:type="dxa"/>
          </w:tcPr>
          <w:p w14:paraId="17F94F2D" w14:textId="77777777" w:rsidR="004A28E0" w:rsidRPr="00060C94"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624243FF" w14:textId="77777777" w:rsidR="004A28E0" w:rsidRDefault="007E0F2B" w:rsidP="004A28E0">
            <w:pPr>
              <w:jc w:val="both"/>
              <w:rPr>
                <w:rFonts w:ascii="Times New Roman" w:hAnsi="Times New Roman" w:cs="Times New Roman"/>
                <w:sz w:val="20"/>
              </w:rPr>
            </w:pPr>
            <w:r>
              <w:rPr>
                <w:rFonts w:ascii="Times New Roman" w:hAnsi="Times New Roman" w:cs="Times New Roman"/>
                <w:sz w:val="20"/>
              </w:rPr>
              <w:t xml:space="preserve">Art. 9 </w:t>
            </w:r>
            <w:r w:rsidR="00BD1781">
              <w:rPr>
                <w:rFonts w:ascii="Times New Roman" w:hAnsi="Times New Roman" w:cs="Times New Roman"/>
                <w:sz w:val="20"/>
              </w:rPr>
              <w:t>ust. 7 oraz 8</w:t>
            </w:r>
          </w:p>
          <w:p w14:paraId="525F415F" w14:textId="7A7AADF5" w:rsidR="00D05D22" w:rsidRPr="00060C94" w:rsidRDefault="00D05D22" w:rsidP="004A28E0">
            <w:pPr>
              <w:jc w:val="both"/>
              <w:rPr>
                <w:rFonts w:ascii="Times New Roman" w:hAnsi="Times New Roman" w:cs="Times New Roman"/>
                <w:sz w:val="20"/>
              </w:rPr>
            </w:pPr>
            <w:r w:rsidRPr="00D05D22">
              <w:rPr>
                <w:rFonts w:ascii="Times New Roman" w:hAnsi="Times New Roman" w:cs="Times New Roman"/>
                <w:sz w:val="20"/>
              </w:rPr>
              <w:t>ustawy nowelizowanej</w:t>
            </w:r>
          </w:p>
        </w:tc>
        <w:tc>
          <w:tcPr>
            <w:tcW w:w="2835" w:type="dxa"/>
            <w:vAlign w:val="center"/>
          </w:tcPr>
          <w:p w14:paraId="1260089C" w14:textId="77777777" w:rsidR="004A28E0" w:rsidRDefault="00BD1781" w:rsidP="004A28E0">
            <w:pPr>
              <w:jc w:val="both"/>
              <w:rPr>
                <w:rFonts w:ascii="Times New Roman" w:hAnsi="Times New Roman" w:cs="Times New Roman"/>
                <w:sz w:val="20"/>
              </w:rPr>
            </w:pPr>
            <w:r>
              <w:rPr>
                <w:rFonts w:ascii="Times New Roman" w:hAnsi="Times New Roman" w:cs="Times New Roman"/>
                <w:sz w:val="20"/>
              </w:rPr>
              <w:t>Izba Architektów RP</w:t>
            </w:r>
          </w:p>
          <w:p w14:paraId="2B5BB30D" w14:textId="3D099BA2" w:rsidR="00324062" w:rsidRPr="00060C94" w:rsidRDefault="00324062" w:rsidP="004A28E0">
            <w:pPr>
              <w:jc w:val="both"/>
              <w:rPr>
                <w:rFonts w:ascii="Times New Roman" w:hAnsi="Times New Roman" w:cs="Times New Roman"/>
                <w:sz w:val="20"/>
              </w:rPr>
            </w:pPr>
          </w:p>
        </w:tc>
        <w:tc>
          <w:tcPr>
            <w:tcW w:w="8477" w:type="dxa"/>
            <w:vAlign w:val="center"/>
          </w:tcPr>
          <w:p w14:paraId="3645CCE8" w14:textId="77777777" w:rsidR="007D0166" w:rsidRDefault="00BD1781" w:rsidP="004A28E0">
            <w:pPr>
              <w:jc w:val="both"/>
              <w:rPr>
                <w:rFonts w:ascii="Times New Roman" w:hAnsi="Times New Roman" w:cs="Times New Roman"/>
                <w:sz w:val="20"/>
              </w:rPr>
            </w:pPr>
            <w:r>
              <w:rPr>
                <w:rFonts w:ascii="Times New Roman" w:hAnsi="Times New Roman" w:cs="Times New Roman"/>
                <w:sz w:val="20"/>
              </w:rPr>
              <w:t xml:space="preserve">Pozytywnie należy ocenić zmianę w art. 9 poprzez dodanie ust. 7-9, która umożliwia zwolnienie z odstępstwa od przepisów techniczno-budowlanych na podstawie pozytywnej opinii państwowego wojewódzkiego inspektora sanitarnego, właściwego terenowo inspektora ochrony środowiska oraz właściwego okręgowego inspektora pracy. Również pozytywnie opiniuje się zwolnienie z konieczności występowania o odstępstwo od przepisów techniczno-budowlanych w stosunku do budynków wpisanych do rejestru zabytków, zgodnie z pozwoleniem wojewódzkiego konserwator zabytków. </w:t>
            </w:r>
          </w:p>
          <w:p w14:paraId="2346C542" w14:textId="0CC60942" w:rsidR="007D0166" w:rsidRDefault="007D0166" w:rsidP="007D0166">
            <w:pPr>
              <w:jc w:val="both"/>
              <w:rPr>
                <w:rFonts w:ascii="Times New Roman" w:hAnsi="Times New Roman" w:cs="Times New Roman"/>
                <w:sz w:val="20"/>
              </w:rPr>
            </w:pPr>
            <w:r>
              <w:rPr>
                <w:rFonts w:ascii="Times New Roman" w:hAnsi="Times New Roman" w:cs="Times New Roman"/>
                <w:sz w:val="20"/>
              </w:rPr>
              <w:t xml:space="preserve">KRIA RP proponuje uzupełnienie art. 9 ust. 8 o wyraz „nadbudowy”. </w:t>
            </w:r>
            <w:r w:rsidRPr="007D0166">
              <w:rPr>
                <w:rFonts w:ascii="Times New Roman" w:hAnsi="Times New Roman" w:cs="Times New Roman"/>
                <w:sz w:val="20"/>
              </w:rPr>
              <w:t>Istnieje bardzo dużo budynków z okresu międzywojennego, które można zgodnie z ogólnymi przepisami nadbudować, ale</w:t>
            </w:r>
            <w:r>
              <w:rPr>
                <w:rFonts w:ascii="Times New Roman" w:hAnsi="Times New Roman" w:cs="Times New Roman"/>
                <w:sz w:val="20"/>
              </w:rPr>
              <w:t xml:space="preserve"> </w:t>
            </w:r>
            <w:r w:rsidRPr="007D0166">
              <w:rPr>
                <w:rFonts w:ascii="Times New Roman" w:hAnsi="Times New Roman" w:cs="Times New Roman"/>
                <w:sz w:val="20"/>
              </w:rPr>
              <w:t>na pewno nie da się spełnić wszystkich wymagań, np. dotyczących istniejącej klatki schodowej i transportu pionowego.</w:t>
            </w:r>
          </w:p>
          <w:p w14:paraId="245DD629" w14:textId="58BD6657" w:rsidR="007D0166" w:rsidRDefault="007D0166" w:rsidP="007D0166">
            <w:pPr>
              <w:jc w:val="both"/>
              <w:rPr>
                <w:rFonts w:ascii="Times New Roman" w:hAnsi="Times New Roman" w:cs="Times New Roman"/>
                <w:sz w:val="20"/>
              </w:rPr>
            </w:pPr>
            <w:r>
              <w:rPr>
                <w:rFonts w:ascii="Times New Roman" w:hAnsi="Times New Roman" w:cs="Times New Roman"/>
                <w:sz w:val="20"/>
              </w:rPr>
              <w:t>Propozycja brzmienia:</w:t>
            </w:r>
          </w:p>
          <w:p w14:paraId="750BFFFA" w14:textId="19B9EC9F" w:rsidR="007D0166" w:rsidRDefault="007D0166" w:rsidP="007D0166">
            <w:pPr>
              <w:jc w:val="both"/>
              <w:rPr>
                <w:rFonts w:ascii="Times New Roman" w:hAnsi="Times New Roman" w:cs="Times New Roman"/>
                <w:sz w:val="20"/>
              </w:rPr>
            </w:pPr>
            <w:r>
              <w:rPr>
                <w:rFonts w:ascii="Times New Roman" w:hAnsi="Times New Roman" w:cs="Times New Roman"/>
                <w:sz w:val="20"/>
              </w:rPr>
              <w:t>„</w:t>
            </w:r>
            <w:r w:rsidRPr="007D0166">
              <w:rPr>
                <w:rFonts w:ascii="Times New Roman" w:hAnsi="Times New Roman" w:cs="Times New Roman"/>
                <w:sz w:val="20"/>
              </w:rPr>
              <w:t xml:space="preserve">W przypadku przebudowy, </w:t>
            </w:r>
            <w:r w:rsidRPr="00A11019">
              <w:rPr>
                <w:rFonts w:ascii="Times New Roman" w:hAnsi="Times New Roman" w:cs="Times New Roman"/>
                <w:color w:val="4F81BD" w:themeColor="accent1"/>
                <w:sz w:val="20"/>
              </w:rPr>
              <w:t>nadbudowy</w:t>
            </w:r>
            <w:r w:rsidRPr="007D0166">
              <w:rPr>
                <w:rFonts w:ascii="Times New Roman" w:hAnsi="Times New Roman" w:cs="Times New Roman"/>
                <w:sz w:val="20"/>
              </w:rPr>
              <w:t xml:space="preserve"> lub zmiany sposobu użytkowania budynków</w:t>
            </w:r>
            <w:r w:rsidR="00A11019">
              <w:rPr>
                <w:rFonts w:ascii="Times New Roman" w:hAnsi="Times New Roman" w:cs="Times New Roman"/>
                <w:sz w:val="20"/>
              </w:rPr>
              <w:t xml:space="preserve"> </w:t>
            </w:r>
            <w:r w:rsidRPr="007D0166">
              <w:rPr>
                <w:rFonts w:ascii="Times New Roman" w:hAnsi="Times New Roman" w:cs="Times New Roman"/>
                <w:sz w:val="20"/>
              </w:rPr>
              <w:t>wpisanych do rejestru zabytków, rozwiązania wynikające z przepisów wydanych</w:t>
            </w:r>
            <w:r w:rsidR="00A11019">
              <w:rPr>
                <w:rFonts w:ascii="Times New Roman" w:hAnsi="Times New Roman" w:cs="Times New Roman"/>
                <w:sz w:val="20"/>
              </w:rPr>
              <w:t xml:space="preserve"> </w:t>
            </w:r>
            <w:r w:rsidRPr="007D0166">
              <w:rPr>
                <w:rFonts w:ascii="Times New Roman" w:hAnsi="Times New Roman" w:cs="Times New Roman"/>
                <w:sz w:val="20"/>
              </w:rPr>
              <w:t>na podstawie art. 7 ust. 2 pkt 1 stosuje się zgodnie z pozwoleniem wojewódzkiego</w:t>
            </w:r>
            <w:r w:rsidR="00A11019">
              <w:rPr>
                <w:rFonts w:ascii="Times New Roman" w:hAnsi="Times New Roman" w:cs="Times New Roman"/>
                <w:sz w:val="20"/>
              </w:rPr>
              <w:t xml:space="preserve"> </w:t>
            </w:r>
            <w:r w:rsidRPr="007D0166">
              <w:rPr>
                <w:rFonts w:ascii="Times New Roman" w:hAnsi="Times New Roman" w:cs="Times New Roman"/>
                <w:sz w:val="20"/>
              </w:rPr>
              <w:t xml:space="preserve">konserwatora zabytków, o którym mowa w art. 36 </w:t>
            </w:r>
            <w:r w:rsidRPr="007D0166">
              <w:rPr>
                <w:rFonts w:ascii="Times New Roman" w:hAnsi="Times New Roman" w:cs="Times New Roman"/>
                <w:sz w:val="20"/>
              </w:rPr>
              <w:lastRenderedPageBreak/>
              <w:t>ust. 1 pkt 1 ustawy z dnia 23</w:t>
            </w:r>
            <w:r w:rsidR="00A11019">
              <w:rPr>
                <w:rFonts w:ascii="Times New Roman" w:hAnsi="Times New Roman" w:cs="Times New Roman"/>
                <w:sz w:val="20"/>
              </w:rPr>
              <w:t xml:space="preserve"> </w:t>
            </w:r>
            <w:r w:rsidRPr="007D0166">
              <w:rPr>
                <w:rFonts w:ascii="Times New Roman" w:hAnsi="Times New Roman" w:cs="Times New Roman"/>
                <w:sz w:val="20"/>
              </w:rPr>
              <w:t>lipca 2003 r. o ochronie zabytków i opiece nad zabytkami (Dz. U. z 2024 r. poz.</w:t>
            </w:r>
            <w:r w:rsidR="00A11019">
              <w:rPr>
                <w:rFonts w:ascii="Times New Roman" w:hAnsi="Times New Roman" w:cs="Times New Roman"/>
                <w:sz w:val="20"/>
              </w:rPr>
              <w:t xml:space="preserve"> </w:t>
            </w:r>
            <w:r w:rsidRPr="007D0166">
              <w:rPr>
                <w:rFonts w:ascii="Times New Roman" w:hAnsi="Times New Roman" w:cs="Times New Roman"/>
                <w:sz w:val="20"/>
              </w:rPr>
              <w:t>1292 i 1907), bez wymogu uzyskiwania zgody na odstępstwo, o której mowa w ust. 2.”</w:t>
            </w:r>
            <w:r w:rsidR="00A11019">
              <w:rPr>
                <w:rFonts w:ascii="Times New Roman" w:hAnsi="Times New Roman" w:cs="Times New Roman"/>
                <w:sz w:val="20"/>
              </w:rPr>
              <w:t xml:space="preserve">. </w:t>
            </w:r>
          </w:p>
          <w:p w14:paraId="77F0D5E2" w14:textId="4167C016" w:rsidR="004A28E0" w:rsidRPr="00060C94" w:rsidRDefault="009404B1" w:rsidP="004A28E0">
            <w:pPr>
              <w:jc w:val="both"/>
              <w:rPr>
                <w:rFonts w:ascii="Times New Roman" w:hAnsi="Times New Roman" w:cs="Times New Roman"/>
                <w:sz w:val="20"/>
              </w:rPr>
            </w:pPr>
            <w:r>
              <w:rPr>
                <w:rFonts w:ascii="Times New Roman" w:hAnsi="Times New Roman" w:cs="Times New Roman"/>
                <w:sz w:val="20"/>
              </w:rPr>
              <w:t xml:space="preserve">Ponadto należy zweryfikować poprawność odesłania zawartego w ust. 9 do pozwolenia, o którym mowa w ust. 6b. Wydaje się, że mowa tu o ust. 8 (przepis art. 9 nie ma ust. 6b).   </w:t>
            </w:r>
          </w:p>
        </w:tc>
      </w:tr>
      <w:tr w:rsidR="00F63425" w:rsidRPr="00060C94" w14:paraId="334ED507" w14:textId="77777777" w:rsidTr="00A1326C">
        <w:trPr>
          <w:jc w:val="center"/>
        </w:trPr>
        <w:tc>
          <w:tcPr>
            <w:tcW w:w="594" w:type="dxa"/>
          </w:tcPr>
          <w:p w14:paraId="767231E9" w14:textId="77777777" w:rsidR="00F63425" w:rsidRPr="00060C94" w:rsidRDefault="00F63425"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15F1A62B" w14:textId="38408271" w:rsidR="00F63425" w:rsidRDefault="00F63425" w:rsidP="008D39EF">
            <w:pPr>
              <w:rPr>
                <w:rFonts w:ascii="Times New Roman" w:hAnsi="Times New Roman" w:cs="Times New Roman"/>
                <w:sz w:val="20"/>
              </w:rPr>
            </w:pPr>
            <w:r>
              <w:rPr>
                <w:rFonts w:ascii="Times New Roman" w:hAnsi="Times New Roman" w:cs="Times New Roman"/>
                <w:sz w:val="20"/>
              </w:rPr>
              <w:t>Art. 28 ustawy nowelizowanej</w:t>
            </w:r>
          </w:p>
        </w:tc>
        <w:tc>
          <w:tcPr>
            <w:tcW w:w="2835" w:type="dxa"/>
            <w:vAlign w:val="center"/>
          </w:tcPr>
          <w:p w14:paraId="3797BA3A" w14:textId="77777777" w:rsidR="00F63425" w:rsidRDefault="00F63425" w:rsidP="004A28E0">
            <w:pPr>
              <w:jc w:val="both"/>
              <w:rPr>
                <w:rFonts w:ascii="Times New Roman" w:hAnsi="Times New Roman" w:cs="Times New Roman"/>
                <w:sz w:val="20"/>
              </w:rPr>
            </w:pPr>
            <w:r>
              <w:rPr>
                <w:rFonts w:ascii="Times New Roman" w:hAnsi="Times New Roman" w:cs="Times New Roman"/>
                <w:sz w:val="20"/>
              </w:rPr>
              <w:t>Izba Architektów RP</w:t>
            </w:r>
          </w:p>
          <w:p w14:paraId="72807019" w14:textId="34A45A56" w:rsidR="00F63425" w:rsidRDefault="00F63425" w:rsidP="004A28E0">
            <w:pPr>
              <w:jc w:val="both"/>
              <w:rPr>
                <w:rFonts w:ascii="Times New Roman" w:hAnsi="Times New Roman" w:cs="Times New Roman"/>
                <w:sz w:val="20"/>
              </w:rPr>
            </w:pPr>
          </w:p>
        </w:tc>
        <w:tc>
          <w:tcPr>
            <w:tcW w:w="8477" w:type="dxa"/>
            <w:vAlign w:val="center"/>
          </w:tcPr>
          <w:p w14:paraId="04BC5627" w14:textId="35A83BB8" w:rsidR="00F63425" w:rsidRDefault="00F63425" w:rsidP="00F63425">
            <w:pPr>
              <w:jc w:val="both"/>
              <w:rPr>
                <w:rFonts w:ascii="Times New Roman" w:hAnsi="Times New Roman" w:cs="Times New Roman"/>
                <w:sz w:val="20"/>
              </w:rPr>
            </w:pPr>
            <w:r w:rsidRPr="00F63425">
              <w:rPr>
                <w:rFonts w:ascii="Times New Roman" w:hAnsi="Times New Roman" w:cs="Times New Roman"/>
                <w:sz w:val="20"/>
              </w:rPr>
              <w:t>Proponuje się wyposażenie art. 28 ustawy Prawo budowlane w</w:t>
            </w:r>
            <w:r>
              <w:rPr>
                <w:rFonts w:ascii="Times New Roman" w:hAnsi="Times New Roman" w:cs="Times New Roman"/>
                <w:sz w:val="20"/>
              </w:rPr>
              <w:t xml:space="preserve"> </w:t>
            </w:r>
            <w:r w:rsidRPr="00F63425">
              <w:rPr>
                <w:rFonts w:ascii="Times New Roman" w:hAnsi="Times New Roman" w:cs="Times New Roman"/>
                <w:sz w:val="20"/>
              </w:rPr>
              <w:t xml:space="preserve">dodatkowy ustęp stanowiący lex </w:t>
            </w:r>
            <w:proofErr w:type="spellStart"/>
            <w:r w:rsidRPr="00F63425">
              <w:rPr>
                <w:rFonts w:ascii="Times New Roman" w:hAnsi="Times New Roman" w:cs="Times New Roman"/>
                <w:sz w:val="20"/>
              </w:rPr>
              <w:t>spec</w:t>
            </w:r>
            <w:r>
              <w:rPr>
                <w:rFonts w:ascii="Times New Roman" w:hAnsi="Times New Roman" w:cs="Times New Roman"/>
                <w:sz w:val="20"/>
              </w:rPr>
              <w:t>i</w:t>
            </w:r>
            <w:r w:rsidRPr="00F63425">
              <w:rPr>
                <w:rFonts w:ascii="Times New Roman" w:hAnsi="Times New Roman" w:cs="Times New Roman"/>
                <w:sz w:val="20"/>
              </w:rPr>
              <w:t>alis</w:t>
            </w:r>
            <w:proofErr w:type="spellEnd"/>
            <w:r w:rsidRPr="00F63425">
              <w:rPr>
                <w:rFonts w:ascii="Times New Roman" w:hAnsi="Times New Roman" w:cs="Times New Roman"/>
                <w:sz w:val="20"/>
              </w:rPr>
              <w:t xml:space="preserve"> do art. 128 k.p.a. (wyłączenie</w:t>
            </w:r>
            <w:r>
              <w:rPr>
                <w:rFonts w:ascii="Times New Roman" w:hAnsi="Times New Roman" w:cs="Times New Roman"/>
                <w:sz w:val="20"/>
              </w:rPr>
              <w:t xml:space="preserve"> </w:t>
            </w:r>
            <w:r w:rsidRPr="00F63425">
              <w:rPr>
                <w:rFonts w:ascii="Times New Roman" w:hAnsi="Times New Roman" w:cs="Times New Roman"/>
                <w:sz w:val="20"/>
              </w:rPr>
              <w:t>stosowania art. 128 k.p.a. zdanie pierwsze i drugie) oraz wskazanie, że</w:t>
            </w:r>
            <w:r>
              <w:rPr>
                <w:rFonts w:ascii="Times New Roman" w:hAnsi="Times New Roman" w:cs="Times New Roman"/>
                <w:sz w:val="20"/>
              </w:rPr>
              <w:t xml:space="preserve"> </w:t>
            </w:r>
            <w:r w:rsidRPr="00F63425">
              <w:rPr>
                <w:rFonts w:ascii="Times New Roman" w:hAnsi="Times New Roman" w:cs="Times New Roman"/>
                <w:sz w:val="20"/>
              </w:rPr>
              <w:t>w postępowaniu w sprawie pozwolenia na budowę odwołanie od decyzji</w:t>
            </w:r>
            <w:r>
              <w:rPr>
                <w:rFonts w:ascii="Times New Roman" w:hAnsi="Times New Roman" w:cs="Times New Roman"/>
                <w:sz w:val="20"/>
              </w:rPr>
              <w:t xml:space="preserve"> </w:t>
            </w:r>
            <w:r w:rsidRPr="00F63425">
              <w:rPr>
                <w:rFonts w:ascii="Times New Roman" w:hAnsi="Times New Roman" w:cs="Times New Roman"/>
                <w:sz w:val="20"/>
              </w:rPr>
              <w:t>wymaga szczegółowego uzasadnienia.</w:t>
            </w:r>
          </w:p>
          <w:p w14:paraId="1207D099" w14:textId="77777777" w:rsidR="00F553FC" w:rsidRDefault="00F553FC" w:rsidP="00F63425">
            <w:pPr>
              <w:jc w:val="both"/>
              <w:rPr>
                <w:rFonts w:ascii="Times New Roman" w:hAnsi="Times New Roman" w:cs="Times New Roman"/>
                <w:sz w:val="20"/>
              </w:rPr>
            </w:pPr>
          </w:p>
          <w:p w14:paraId="5631BD65" w14:textId="649124B6" w:rsidR="00473EA9" w:rsidRDefault="00473EA9" w:rsidP="00F63425">
            <w:pPr>
              <w:jc w:val="both"/>
              <w:rPr>
                <w:rFonts w:ascii="Times New Roman" w:hAnsi="Times New Roman" w:cs="Times New Roman"/>
                <w:sz w:val="20"/>
              </w:rPr>
            </w:pPr>
            <w:r>
              <w:rPr>
                <w:rFonts w:ascii="Times New Roman" w:hAnsi="Times New Roman" w:cs="Times New Roman"/>
                <w:sz w:val="20"/>
              </w:rPr>
              <w:t>Propozycja brzmienia:</w:t>
            </w:r>
          </w:p>
          <w:p w14:paraId="3113E003" w14:textId="77777777" w:rsidR="00F553FC" w:rsidRDefault="00473EA9" w:rsidP="00F63425">
            <w:pPr>
              <w:jc w:val="both"/>
              <w:rPr>
                <w:rFonts w:ascii="Times New Roman" w:hAnsi="Times New Roman" w:cs="Times New Roman"/>
                <w:sz w:val="20"/>
              </w:rPr>
            </w:pPr>
            <w:r w:rsidRPr="00473EA9">
              <w:rPr>
                <w:rFonts w:ascii="Times New Roman" w:hAnsi="Times New Roman" w:cs="Times New Roman"/>
                <w:sz w:val="20"/>
              </w:rPr>
              <w:t xml:space="preserve">3b. Przepisu art. 128 Kodeksu postępowania administracyjnego nie stosuje się. W postępowaniu w sprawie pozwolenia na budowę odwołanie od decyzji wymaga szczegółowego uzasadnienia. </w:t>
            </w:r>
          </w:p>
          <w:p w14:paraId="17F6BAFB" w14:textId="62858EF5" w:rsidR="00473EA9" w:rsidRDefault="00F553FC" w:rsidP="00F63425">
            <w:pPr>
              <w:jc w:val="both"/>
              <w:rPr>
                <w:rFonts w:ascii="Times New Roman" w:hAnsi="Times New Roman" w:cs="Times New Roman"/>
                <w:sz w:val="20"/>
              </w:rPr>
            </w:pPr>
            <w:r>
              <w:rPr>
                <w:rFonts w:ascii="Times New Roman" w:hAnsi="Times New Roman" w:cs="Times New Roman"/>
                <w:sz w:val="20"/>
              </w:rPr>
              <w:t xml:space="preserve"> </w:t>
            </w:r>
            <w:r w:rsidR="00473EA9" w:rsidRPr="00473EA9">
              <w:rPr>
                <w:rFonts w:ascii="Times New Roman" w:hAnsi="Times New Roman" w:cs="Times New Roman"/>
                <w:sz w:val="20"/>
              </w:rPr>
              <w:t xml:space="preserve">  </w:t>
            </w:r>
          </w:p>
          <w:p w14:paraId="2AAF85E6" w14:textId="2026F288" w:rsidR="00F63425" w:rsidRPr="00F63425" w:rsidRDefault="00F63425" w:rsidP="00F63425">
            <w:pPr>
              <w:jc w:val="both"/>
              <w:rPr>
                <w:rFonts w:ascii="Times New Roman" w:hAnsi="Times New Roman" w:cs="Times New Roman"/>
                <w:sz w:val="20"/>
              </w:rPr>
            </w:pPr>
            <w:r w:rsidRPr="00F63425">
              <w:rPr>
                <w:rFonts w:ascii="Times New Roman" w:hAnsi="Times New Roman" w:cs="Times New Roman"/>
                <w:sz w:val="20"/>
              </w:rPr>
              <w:t>W ustawie Prawo budowlane proponuje się wprowadzenie w art. 28</w:t>
            </w:r>
            <w:r>
              <w:rPr>
                <w:rFonts w:ascii="Times New Roman" w:hAnsi="Times New Roman" w:cs="Times New Roman"/>
                <w:sz w:val="20"/>
              </w:rPr>
              <w:t xml:space="preserve"> </w:t>
            </w:r>
            <w:r w:rsidRPr="00F63425">
              <w:rPr>
                <w:rFonts w:ascii="Times New Roman" w:hAnsi="Times New Roman" w:cs="Times New Roman"/>
                <w:sz w:val="20"/>
              </w:rPr>
              <w:t>wymagania w postaci uzasadnienia dla odwołania od decyzji, co</w:t>
            </w:r>
            <w:r>
              <w:rPr>
                <w:rFonts w:ascii="Times New Roman" w:hAnsi="Times New Roman" w:cs="Times New Roman"/>
                <w:sz w:val="20"/>
              </w:rPr>
              <w:t xml:space="preserve"> </w:t>
            </w:r>
            <w:r w:rsidRPr="00F63425">
              <w:rPr>
                <w:rFonts w:ascii="Times New Roman" w:hAnsi="Times New Roman" w:cs="Times New Roman"/>
                <w:sz w:val="20"/>
              </w:rPr>
              <w:t>przynajmniej częściowo ograniczy ich ilość (dodanie ust. 3b).</w:t>
            </w:r>
          </w:p>
          <w:p w14:paraId="2BF0D944" w14:textId="77B3E47A" w:rsidR="00F63425" w:rsidRPr="00F63425" w:rsidRDefault="00F63425" w:rsidP="00F63425">
            <w:pPr>
              <w:jc w:val="both"/>
              <w:rPr>
                <w:rFonts w:ascii="Times New Roman" w:hAnsi="Times New Roman" w:cs="Times New Roman"/>
                <w:sz w:val="20"/>
              </w:rPr>
            </w:pPr>
            <w:r w:rsidRPr="00F63425">
              <w:rPr>
                <w:rFonts w:ascii="Times New Roman" w:hAnsi="Times New Roman" w:cs="Times New Roman"/>
                <w:sz w:val="20"/>
              </w:rPr>
              <w:t>Zgodnie z art. 128 ustawy z dnia 14 czerwca 1960 r. Kodeks</w:t>
            </w:r>
            <w:r>
              <w:rPr>
                <w:rFonts w:ascii="Times New Roman" w:hAnsi="Times New Roman" w:cs="Times New Roman"/>
                <w:sz w:val="20"/>
              </w:rPr>
              <w:t xml:space="preserve"> </w:t>
            </w:r>
            <w:r w:rsidRPr="00F63425">
              <w:rPr>
                <w:rFonts w:ascii="Times New Roman" w:hAnsi="Times New Roman" w:cs="Times New Roman"/>
                <w:sz w:val="20"/>
              </w:rPr>
              <w:t>postępowania administracyjnego (dalej k.p.a.) „Odwołanie nie wymaga</w:t>
            </w:r>
            <w:r>
              <w:rPr>
                <w:rFonts w:ascii="Times New Roman" w:hAnsi="Times New Roman" w:cs="Times New Roman"/>
                <w:sz w:val="20"/>
              </w:rPr>
              <w:t xml:space="preserve"> </w:t>
            </w:r>
            <w:r w:rsidRPr="00F63425">
              <w:rPr>
                <w:rFonts w:ascii="Times New Roman" w:hAnsi="Times New Roman" w:cs="Times New Roman"/>
                <w:sz w:val="20"/>
              </w:rPr>
              <w:t>szczegółowego uzasadnienia. Wystarczy, jeżeli z odwołania wynika, że</w:t>
            </w:r>
            <w:r>
              <w:rPr>
                <w:rFonts w:ascii="Times New Roman" w:hAnsi="Times New Roman" w:cs="Times New Roman"/>
                <w:sz w:val="20"/>
              </w:rPr>
              <w:t xml:space="preserve"> </w:t>
            </w:r>
            <w:r w:rsidRPr="00F63425">
              <w:rPr>
                <w:rFonts w:ascii="Times New Roman" w:hAnsi="Times New Roman" w:cs="Times New Roman"/>
                <w:sz w:val="20"/>
              </w:rPr>
              <w:t>strona nie jest zadowolona z wydanej decyzji. Przepisy szczególne</w:t>
            </w:r>
            <w:r>
              <w:rPr>
                <w:rFonts w:ascii="Times New Roman" w:hAnsi="Times New Roman" w:cs="Times New Roman"/>
                <w:sz w:val="20"/>
              </w:rPr>
              <w:t xml:space="preserve"> </w:t>
            </w:r>
            <w:r w:rsidRPr="00F63425">
              <w:rPr>
                <w:rFonts w:ascii="Times New Roman" w:hAnsi="Times New Roman" w:cs="Times New Roman"/>
                <w:sz w:val="20"/>
              </w:rPr>
              <w:t>mogą ustalać inne wymogi co do treści odwołania.”. Dodawany ust. 3b</w:t>
            </w:r>
            <w:r>
              <w:rPr>
                <w:rFonts w:ascii="Times New Roman" w:hAnsi="Times New Roman" w:cs="Times New Roman"/>
                <w:sz w:val="20"/>
              </w:rPr>
              <w:t xml:space="preserve"> </w:t>
            </w:r>
            <w:r w:rsidRPr="00F63425">
              <w:rPr>
                <w:rFonts w:ascii="Times New Roman" w:hAnsi="Times New Roman" w:cs="Times New Roman"/>
                <w:sz w:val="20"/>
              </w:rPr>
              <w:t>stanowić będzie przepis szczególny, o którym mowa w art. 128 zdanie</w:t>
            </w:r>
            <w:r>
              <w:rPr>
                <w:rFonts w:ascii="Times New Roman" w:hAnsi="Times New Roman" w:cs="Times New Roman"/>
                <w:sz w:val="20"/>
              </w:rPr>
              <w:t xml:space="preserve"> </w:t>
            </w:r>
            <w:r w:rsidRPr="00F63425">
              <w:rPr>
                <w:rFonts w:ascii="Times New Roman" w:hAnsi="Times New Roman" w:cs="Times New Roman"/>
                <w:sz w:val="20"/>
              </w:rPr>
              <w:t>trzecie k.p.a. Zgodnie ze stanowiskiem komentatorów k.p.a.: „W</w:t>
            </w:r>
            <w:r>
              <w:rPr>
                <w:rFonts w:ascii="Times New Roman" w:hAnsi="Times New Roman" w:cs="Times New Roman"/>
                <w:sz w:val="20"/>
              </w:rPr>
              <w:t xml:space="preserve"> </w:t>
            </w:r>
            <w:r w:rsidRPr="00F63425">
              <w:rPr>
                <w:rFonts w:ascii="Times New Roman" w:hAnsi="Times New Roman" w:cs="Times New Roman"/>
                <w:sz w:val="20"/>
              </w:rPr>
              <w:t>doktrynie przyjmuje się, że ze zdania pierwszego i drugiego</w:t>
            </w:r>
            <w:r>
              <w:rPr>
                <w:rFonts w:ascii="Times New Roman" w:hAnsi="Times New Roman" w:cs="Times New Roman"/>
                <w:sz w:val="20"/>
              </w:rPr>
              <w:t xml:space="preserve"> </w:t>
            </w:r>
            <w:r w:rsidRPr="00F63425">
              <w:rPr>
                <w:rFonts w:ascii="Times New Roman" w:hAnsi="Times New Roman" w:cs="Times New Roman"/>
                <w:sz w:val="20"/>
              </w:rPr>
              <w:t>komentowanego przepisu wynika, iż „odwołanie nie wymaga żadnego</w:t>
            </w:r>
          </w:p>
          <w:p w14:paraId="29133ACD" w14:textId="2778040D" w:rsidR="00F63425" w:rsidRPr="00F63425" w:rsidRDefault="00F63425" w:rsidP="00F63425">
            <w:pPr>
              <w:jc w:val="both"/>
              <w:rPr>
                <w:rFonts w:ascii="Times New Roman" w:hAnsi="Times New Roman" w:cs="Times New Roman"/>
                <w:sz w:val="20"/>
              </w:rPr>
            </w:pPr>
            <w:r w:rsidRPr="00F63425">
              <w:rPr>
                <w:rFonts w:ascii="Times New Roman" w:hAnsi="Times New Roman" w:cs="Times New Roman"/>
                <w:sz w:val="20"/>
              </w:rPr>
              <w:t>uzasadnienia ani nawet wskazania, w jakim zakresie i w jakim kierunku</w:t>
            </w:r>
            <w:r>
              <w:rPr>
                <w:rFonts w:ascii="Times New Roman" w:hAnsi="Times New Roman" w:cs="Times New Roman"/>
                <w:sz w:val="20"/>
              </w:rPr>
              <w:t xml:space="preserve"> </w:t>
            </w:r>
            <w:r w:rsidRPr="00F63425">
              <w:rPr>
                <w:rFonts w:ascii="Times New Roman" w:hAnsi="Times New Roman" w:cs="Times New Roman"/>
                <w:sz w:val="20"/>
              </w:rPr>
              <w:t xml:space="preserve">odwołujący się żąda zmiany decyzji” (E. </w:t>
            </w:r>
            <w:proofErr w:type="spellStart"/>
            <w:r w:rsidRPr="00F63425">
              <w:rPr>
                <w:rFonts w:ascii="Times New Roman" w:hAnsi="Times New Roman" w:cs="Times New Roman"/>
                <w:sz w:val="20"/>
              </w:rPr>
              <w:t>Iserzon</w:t>
            </w:r>
            <w:proofErr w:type="spellEnd"/>
            <w:r w:rsidRPr="00F63425">
              <w:rPr>
                <w:rFonts w:ascii="Times New Roman" w:hAnsi="Times New Roman" w:cs="Times New Roman"/>
                <w:sz w:val="20"/>
              </w:rPr>
              <w:t xml:space="preserve"> [w:] Komentarz, 1970, s.</w:t>
            </w:r>
            <w:r>
              <w:rPr>
                <w:rFonts w:ascii="Times New Roman" w:hAnsi="Times New Roman" w:cs="Times New Roman"/>
                <w:sz w:val="20"/>
              </w:rPr>
              <w:t xml:space="preserve"> </w:t>
            </w:r>
            <w:r w:rsidRPr="00F63425">
              <w:rPr>
                <w:rFonts w:ascii="Times New Roman" w:hAnsi="Times New Roman" w:cs="Times New Roman"/>
                <w:sz w:val="20"/>
              </w:rPr>
              <w:t xml:space="preserve">226).” (A. Wróbel [w:] M. Jaśkowska, M. </w:t>
            </w:r>
            <w:proofErr w:type="spellStart"/>
            <w:r w:rsidRPr="00F63425">
              <w:rPr>
                <w:rFonts w:ascii="Times New Roman" w:hAnsi="Times New Roman" w:cs="Times New Roman"/>
                <w:sz w:val="20"/>
              </w:rPr>
              <w:t>Wilbrandt-Gotowicz</w:t>
            </w:r>
            <w:proofErr w:type="spellEnd"/>
            <w:r w:rsidRPr="00F63425">
              <w:rPr>
                <w:rFonts w:ascii="Times New Roman" w:hAnsi="Times New Roman" w:cs="Times New Roman"/>
                <w:sz w:val="20"/>
              </w:rPr>
              <w:t>, A. Wróbel,</w:t>
            </w:r>
            <w:r>
              <w:rPr>
                <w:rFonts w:ascii="Times New Roman" w:hAnsi="Times New Roman" w:cs="Times New Roman"/>
                <w:sz w:val="20"/>
              </w:rPr>
              <w:t xml:space="preserve"> </w:t>
            </w:r>
            <w:r w:rsidRPr="00F63425">
              <w:rPr>
                <w:rFonts w:ascii="Times New Roman" w:hAnsi="Times New Roman" w:cs="Times New Roman"/>
                <w:sz w:val="20"/>
              </w:rPr>
              <w:t>Komentarz aktualizowany do Kodeksu postępowania administracyjnego,</w:t>
            </w:r>
            <w:r>
              <w:rPr>
                <w:rFonts w:ascii="Times New Roman" w:hAnsi="Times New Roman" w:cs="Times New Roman"/>
                <w:sz w:val="20"/>
              </w:rPr>
              <w:t xml:space="preserve"> </w:t>
            </w:r>
            <w:r w:rsidRPr="00F63425">
              <w:rPr>
                <w:rFonts w:ascii="Times New Roman" w:hAnsi="Times New Roman" w:cs="Times New Roman"/>
                <w:sz w:val="20"/>
              </w:rPr>
              <w:t>LEX/el. 2025, art. 128.).</w:t>
            </w:r>
            <w:r>
              <w:rPr>
                <w:rFonts w:ascii="Times New Roman" w:hAnsi="Times New Roman" w:cs="Times New Roman"/>
                <w:sz w:val="20"/>
              </w:rPr>
              <w:t xml:space="preserve"> </w:t>
            </w:r>
            <w:r w:rsidRPr="00F63425">
              <w:rPr>
                <w:rFonts w:ascii="Times New Roman" w:hAnsi="Times New Roman" w:cs="Times New Roman"/>
                <w:sz w:val="20"/>
              </w:rPr>
              <w:t>Takie rozwiązanie na gruncie prawa budowlanego przynosi często</w:t>
            </w:r>
            <w:r>
              <w:rPr>
                <w:rFonts w:ascii="Times New Roman" w:hAnsi="Times New Roman" w:cs="Times New Roman"/>
                <w:sz w:val="20"/>
              </w:rPr>
              <w:t xml:space="preserve"> </w:t>
            </w:r>
            <w:r w:rsidRPr="00F63425">
              <w:rPr>
                <w:rFonts w:ascii="Times New Roman" w:hAnsi="Times New Roman" w:cs="Times New Roman"/>
                <w:sz w:val="20"/>
              </w:rPr>
              <w:t>daleko idące skutki. Postępowania z zakresu procesu inwestycyjnego</w:t>
            </w:r>
            <w:r>
              <w:rPr>
                <w:rFonts w:ascii="Times New Roman" w:hAnsi="Times New Roman" w:cs="Times New Roman"/>
                <w:sz w:val="20"/>
              </w:rPr>
              <w:t xml:space="preserve"> </w:t>
            </w:r>
            <w:r w:rsidRPr="00F63425">
              <w:rPr>
                <w:rFonts w:ascii="Times New Roman" w:hAnsi="Times New Roman" w:cs="Times New Roman"/>
                <w:sz w:val="20"/>
              </w:rPr>
              <w:t>łączą w sobie wiele obszarów, takich jak szczegółowe wymagania</w:t>
            </w:r>
            <w:r>
              <w:rPr>
                <w:rFonts w:ascii="Times New Roman" w:hAnsi="Times New Roman" w:cs="Times New Roman"/>
                <w:sz w:val="20"/>
              </w:rPr>
              <w:t xml:space="preserve"> </w:t>
            </w:r>
            <w:r w:rsidRPr="00F63425">
              <w:rPr>
                <w:rFonts w:ascii="Times New Roman" w:hAnsi="Times New Roman" w:cs="Times New Roman"/>
                <w:sz w:val="20"/>
              </w:rPr>
              <w:t>techniczne obiektów, wymagania co do sytuowania na działce,</w:t>
            </w:r>
            <w:r>
              <w:rPr>
                <w:rFonts w:ascii="Times New Roman" w:hAnsi="Times New Roman" w:cs="Times New Roman"/>
                <w:sz w:val="20"/>
              </w:rPr>
              <w:t xml:space="preserve"> </w:t>
            </w:r>
            <w:r w:rsidRPr="00F63425">
              <w:rPr>
                <w:rFonts w:ascii="Times New Roman" w:hAnsi="Times New Roman" w:cs="Times New Roman"/>
                <w:sz w:val="20"/>
              </w:rPr>
              <w:t>wymagania wynikające z przepisów innych ustawy, w tym ustawy o</w:t>
            </w:r>
            <w:r>
              <w:rPr>
                <w:rFonts w:ascii="Times New Roman" w:hAnsi="Times New Roman" w:cs="Times New Roman"/>
                <w:sz w:val="20"/>
              </w:rPr>
              <w:t xml:space="preserve"> </w:t>
            </w:r>
            <w:r w:rsidRPr="00F63425">
              <w:rPr>
                <w:rFonts w:ascii="Times New Roman" w:hAnsi="Times New Roman" w:cs="Times New Roman"/>
                <w:sz w:val="20"/>
              </w:rPr>
              <w:t>planowaniu i zagospodarowaniu przestrzennym, ochrony środowiska,</w:t>
            </w:r>
            <w:r>
              <w:rPr>
                <w:rFonts w:ascii="Times New Roman" w:hAnsi="Times New Roman" w:cs="Times New Roman"/>
                <w:sz w:val="20"/>
              </w:rPr>
              <w:t xml:space="preserve"> </w:t>
            </w:r>
            <w:r w:rsidRPr="00F63425">
              <w:rPr>
                <w:rFonts w:ascii="Times New Roman" w:hAnsi="Times New Roman" w:cs="Times New Roman"/>
                <w:sz w:val="20"/>
              </w:rPr>
              <w:t>ochrony przyrody, ochrony zabytków. A zatem organy administracji</w:t>
            </w:r>
            <w:r>
              <w:rPr>
                <w:rFonts w:ascii="Times New Roman" w:hAnsi="Times New Roman" w:cs="Times New Roman"/>
                <w:sz w:val="20"/>
              </w:rPr>
              <w:t xml:space="preserve"> </w:t>
            </w:r>
            <w:r w:rsidRPr="00F63425">
              <w:rPr>
                <w:rFonts w:ascii="Times New Roman" w:hAnsi="Times New Roman" w:cs="Times New Roman"/>
                <w:sz w:val="20"/>
              </w:rPr>
              <w:t>architektoniczno-budowlanej muszą uwzględniać przy wydawaniu decyzji</w:t>
            </w:r>
            <w:r>
              <w:rPr>
                <w:rFonts w:ascii="Times New Roman" w:hAnsi="Times New Roman" w:cs="Times New Roman"/>
                <w:sz w:val="20"/>
              </w:rPr>
              <w:t xml:space="preserve"> </w:t>
            </w:r>
            <w:r w:rsidRPr="00F63425">
              <w:rPr>
                <w:rFonts w:ascii="Times New Roman" w:hAnsi="Times New Roman" w:cs="Times New Roman"/>
                <w:sz w:val="20"/>
              </w:rPr>
              <w:t>o pozwoleniu na budowę szereg szczegółowych regulacji prawnych, w</w:t>
            </w:r>
            <w:r>
              <w:rPr>
                <w:rFonts w:ascii="Times New Roman" w:hAnsi="Times New Roman" w:cs="Times New Roman"/>
                <w:sz w:val="20"/>
              </w:rPr>
              <w:t xml:space="preserve"> </w:t>
            </w:r>
            <w:r w:rsidRPr="00F63425">
              <w:rPr>
                <w:rFonts w:ascii="Times New Roman" w:hAnsi="Times New Roman" w:cs="Times New Roman"/>
                <w:sz w:val="20"/>
              </w:rPr>
              <w:t>tym i prawa miejscowego. Stąd są to, szczególnie w odniesieniu do</w:t>
            </w:r>
            <w:r>
              <w:rPr>
                <w:rFonts w:ascii="Times New Roman" w:hAnsi="Times New Roman" w:cs="Times New Roman"/>
                <w:sz w:val="20"/>
              </w:rPr>
              <w:t xml:space="preserve"> </w:t>
            </w:r>
            <w:r w:rsidRPr="00F63425">
              <w:rPr>
                <w:rFonts w:ascii="Times New Roman" w:hAnsi="Times New Roman" w:cs="Times New Roman"/>
                <w:sz w:val="20"/>
              </w:rPr>
              <w:t>większych, specjalistycznych zamierzeń budowlanych, postępowania</w:t>
            </w:r>
            <w:r>
              <w:rPr>
                <w:rFonts w:ascii="Times New Roman" w:hAnsi="Times New Roman" w:cs="Times New Roman"/>
                <w:sz w:val="20"/>
              </w:rPr>
              <w:t xml:space="preserve"> </w:t>
            </w:r>
            <w:r w:rsidRPr="00F63425">
              <w:rPr>
                <w:rFonts w:ascii="Times New Roman" w:hAnsi="Times New Roman" w:cs="Times New Roman"/>
                <w:sz w:val="20"/>
              </w:rPr>
              <w:t>skomplikowane.</w:t>
            </w:r>
          </w:p>
          <w:p w14:paraId="3084A4D7" w14:textId="77777777" w:rsidR="00F63425" w:rsidRDefault="00F63425" w:rsidP="00F63425">
            <w:pPr>
              <w:jc w:val="both"/>
              <w:rPr>
                <w:rFonts w:ascii="Times New Roman" w:hAnsi="Times New Roman" w:cs="Times New Roman"/>
                <w:sz w:val="20"/>
              </w:rPr>
            </w:pPr>
            <w:r w:rsidRPr="00F63425">
              <w:rPr>
                <w:rFonts w:ascii="Times New Roman" w:hAnsi="Times New Roman" w:cs="Times New Roman"/>
                <w:sz w:val="20"/>
              </w:rPr>
              <w:t>Jednocześnie należy podkreślić, że proponowane rozwiązanie nie</w:t>
            </w:r>
            <w:r>
              <w:rPr>
                <w:rFonts w:ascii="Times New Roman" w:hAnsi="Times New Roman" w:cs="Times New Roman"/>
                <w:sz w:val="20"/>
              </w:rPr>
              <w:t xml:space="preserve"> </w:t>
            </w:r>
            <w:r w:rsidRPr="00F63425">
              <w:rPr>
                <w:rFonts w:ascii="Times New Roman" w:hAnsi="Times New Roman" w:cs="Times New Roman"/>
                <w:sz w:val="20"/>
              </w:rPr>
              <w:t xml:space="preserve">ograniczy stronom postępowania możliwości wnoszenia </w:t>
            </w:r>
            <w:proofErr w:type="spellStart"/>
            <w:r w:rsidRPr="00F63425">
              <w:rPr>
                <w:rFonts w:ascii="Times New Roman" w:hAnsi="Times New Roman" w:cs="Times New Roman"/>
                <w:sz w:val="20"/>
              </w:rPr>
              <w:t>odwołań</w:t>
            </w:r>
            <w:proofErr w:type="spellEnd"/>
            <w:r w:rsidRPr="00F63425">
              <w:rPr>
                <w:rFonts w:ascii="Times New Roman" w:hAnsi="Times New Roman" w:cs="Times New Roman"/>
                <w:sz w:val="20"/>
              </w:rPr>
              <w:t xml:space="preserve"> od</w:t>
            </w:r>
            <w:r>
              <w:rPr>
                <w:rFonts w:ascii="Times New Roman" w:hAnsi="Times New Roman" w:cs="Times New Roman"/>
                <w:sz w:val="20"/>
              </w:rPr>
              <w:t xml:space="preserve"> </w:t>
            </w:r>
            <w:r w:rsidRPr="00F63425">
              <w:rPr>
                <w:rFonts w:ascii="Times New Roman" w:hAnsi="Times New Roman" w:cs="Times New Roman"/>
                <w:sz w:val="20"/>
              </w:rPr>
              <w:t>decyzji, a jedynie zdyscyplinuje ich formę i treść.</w:t>
            </w:r>
          </w:p>
          <w:p w14:paraId="44595CED" w14:textId="08EC76A5" w:rsidR="00F63425" w:rsidRDefault="00F63425" w:rsidP="00F63425">
            <w:pPr>
              <w:jc w:val="both"/>
              <w:rPr>
                <w:rFonts w:ascii="Times New Roman" w:hAnsi="Times New Roman" w:cs="Times New Roman"/>
                <w:sz w:val="20"/>
              </w:rPr>
            </w:pPr>
            <w:r>
              <w:rPr>
                <w:rFonts w:ascii="Times New Roman" w:hAnsi="Times New Roman" w:cs="Times New Roman"/>
                <w:sz w:val="20"/>
              </w:rPr>
              <w:t xml:space="preserve">Postulat ten wszedł w skład pakietu </w:t>
            </w:r>
            <w:proofErr w:type="spellStart"/>
            <w:r>
              <w:rPr>
                <w:rFonts w:ascii="Times New Roman" w:hAnsi="Times New Roman" w:cs="Times New Roman"/>
                <w:sz w:val="20"/>
              </w:rPr>
              <w:t>deregulacyjnego</w:t>
            </w:r>
            <w:proofErr w:type="spellEnd"/>
            <w:r>
              <w:rPr>
                <w:rFonts w:ascii="Times New Roman" w:hAnsi="Times New Roman" w:cs="Times New Roman"/>
                <w:sz w:val="20"/>
              </w:rPr>
              <w:t xml:space="preserve"> przedstawionego przez IARP, stąd powinien znaleźć się w opiniowanym projekcie.   </w:t>
            </w:r>
          </w:p>
        </w:tc>
      </w:tr>
      <w:tr w:rsidR="000B346A" w:rsidRPr="00060C94" w14:paraId="297D1DAB" w14:textId="77777777" w:rsidTr="00A1326C">
        <w:trPr>
          <w:jc w:val="center"/>
        </w:trPr>
        <w:tc>
          <w:tcPr>
            <w:tcW w:w="594" w:type="dxa"/>
          </w:tcPr>
          <w:p w14:paraId="5112CB9F" w14:textId="77777777" w:rsidR="000B346A" w:rsidRPr="00060C94" w:rsidRDefault="000B346A"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2CB50EDD" w14:textId="77777777" w:rsidR="000B346A" w:rsidRDefault="005C0AC2" w:rsidP="004A28E0">
            <w:pPr>
              <w:jc w:val="both"/>
              <w:rPr>
                <w:rFonts w:ascii="Times New Roman" w:hAnsi="Times New Roman" w:cs="Times New Roman"/>
                <w:sz w:val="20"/>
              </w:rPr>
            </w:pPr>
            <w:r>
              <w:rPr>
                <w:rFonts w:ascii="Times New Roman" w:hAnsi="Times New Roman" w:cs="Times New Roman"/>
                <w:sz w:val="20"/>
              </w:rPr>
              <w:t xml:space="preserve">Art. 29 ust. 1 pkt 1b </w:t>
            </w:r>
          </w:p>
          <w:p w14:paraId="591A73A5" w14:textId="576FAC3F" w:rsidR="00D05D22" w:rsidRPr="00060C94" w:rsidRDefault="00D05D22" w:rsidP="004A28E0">
            <w:pPr>
              <w:jc w:val="both"/>
              <w:rPr>
                <w:rFonts w:ascii="Times New Roman" w:hAnsi="Times New Roman" w:cs="Times New Roman"/>
                <w:sz w:val="20"/>
              </w:rPr>
            </w:pPr>
            <w:r w:rsidRPr="00D05D22">
              <w:rPr>
                <w:rFonts w:ascii="Times New Roman" w:hAnsi="Times New Roman" w:cs="Times New Roman"/>
                <w:sz w:val="20"/>
              </w:rPr>
              <w:t>ustawy nowelizowanej</w:t>
            </w:r>
            <w:r>
              <w:rPr>
                <w:rFonts w:ascii="Times New Roman" w:hAnsi="Times New Roman" w:cs="Times New Roman"/>
                <w:sz w:val="20"/>
              </w:rPr>
              <w:t xml:space="preserve"> </w:t>
            </w:r>
          </w:p>
        </w:tc>
        <w:tc>
          <w:tcPr>
            <w:tcW w:w="2835" w:type="dxa"/>
            <w:vAlign w:val="center"/>
          </w:tcPr>
          <w:p w14:paraId="4BCA293E" w14:textId="77777777" w:rsidR="000B346A" w:rsidRDefault="005C0AC2" w:rsidP="004A28E0">
            <w:pPr>
              <w:jc w:val="both"/>
              <w:rPr>
                <w:rFonts w:ascii="Times New Roman" w:hAnsi="Times New Roman" w:cs="Times New Roman"/>
                <w:sz w:val="20"/>
              </w:rPr>
            </w:pPr>
            <w:r>
              <w:rPr>
                <w:rFonts w:ascii="Times New Roman" w:hAnsi="Times New Roman" w:cs="Times New Roman"/>
                <w:sz w:val="20"/>
              </w:rPr>
              <w:t>Izba Architektów RP</w:t>
            </w:r>
          </w:p>
          <w:p w14:paraId="66D35575" w14:textId="202A6FD5" w:rsidR="00324062" w:rsidRPr="00060C94" w:rsidRDefault="00324062" w:rsidP="004A28E0">
            <w:pPr>
              <w:jc w:val="both"/>
              <w:rPr>
                <w:rFonts w:ascii="Times New Roman" w:hAnsi="Times New Roman" w:cs="Times New Roman"/>
                <w:sz w:val="20"/>
              </w:rPr>
            </w:pPr>
          </w:p>
        </w:tc>
        <w:tc>
          <w:tcPr>
            <w:tcW w:w="8477" w:type="dxa"/>
            <w:vAlign w:val="center"/>
          </w:tcPr>
          <w:p w14:paraId="54826582" w14:textId="0EDE80F3" w:rsidR="000B346A" w:rsidRPr="00060C94" w:rsidRDefault="005C0AC2" w:rsidP="004A28E0">
            <w:pPr>
              <w:jc w:val="both"/>
              <w:rPr>
                <w:rFonts w:ascii="Times New Roman" w:hAnsi="Times New Roman" w:cs="Times New Roman"/>
                <w:sz w:val="20"/>
              </w:rPr>
            </w:pPr>
            <w:r>
              <w:rPr>
                <w:rFonts w:ascii="Times New Roman" w:hAnsi="Times New Roman" w:cs="Times New Roman"/>
                <w:sz w:val="20"/>
              </w:rPr>
              <w:t>W art. 29 ust. 1 pkt 1b zaproponowano uzupełnienie katalogu budów, które nie wymagają decyzji o pozwoleniu na budowę, natomiast wymagają zgłoszenia o „</w:t>
            </w:r>
            <w:r w:rsidRPr="005C0AC2">
              <w:rPr>
                <w:rFonts w:ascii="Times New Roman" w:hAnsi="Times New Roman" w:cs="Times New Roman"/>
                <w:sz w:val="20"/>
              </w:rPr>
              <w:t>wolno stojąc</w:t>
            </w:r>
            <w:r>
              <w:rPr>
                <w:rFonts w:ascii="Times New Roman" w:hAnsi="Times New Roman" w:cs="Times New Roman"/>
                <w:sz w:val="20"/>
              </w:rPr>
              <w:t>e</w:t>
            </w:r>
            <w:r w:rsidRPr="005C0AC2">
              <w:rPr>
                <w:rFonts w:ascii="Times New Roman" w:hAnsi="Times New Roman" w:cs="Times New Roman"/>
                <w:sz w:val="20"/>
              </w:rPr>
              <w:t>, nie więcej niż dwukondygnacyjnych budynk</w:t>
            </w:r>
            <w:r>
              <w:rPr>
                <w:rFonts w:ascii="Times New Roman" w:hAnsi="Times New Roman" w:cs="Times New Roman"/>
                <w:sz w:val="20"/>
              </w:rPr>
              <w:t>i</w:t>
            </w:r>
            <w:r w:rsidRPr="005C0AC2">
              <w:rPr>
                <w:rFonts w:ascii="Times New Roman" w:hAnsi="Times New Roman" w:cs="Times New Roman"/>
                <w:sz w:val="20"/>
              </w:rPr>
              <w:t xml:space="preserve"> użyteczności publicznej o powierzchni użytkowej nie większej niż 200 </w:t>
            </w:r>
            <w:r w:rsidRPr="005C0AC2">
              <w:rPr>
                <w:rFonts w:ascii="Times New Roman" w:hAnsi="Times New Roman" w:cs="Times New Roman"/>
                <w:sz w:val="20"/>
              </w:rPr>
              <w:lastRenderedPageBreak/>
              <w:t>m2, których obszar oddziaływania mieści się na działce lub działkach, na których zostały zaprojektowane</w:t>
            </w:r>
            <w:r>
              <w:rPr>
                <w:rFonts w:ascii="Times New Roman" w:hAnsi="Times New Roman" w:cs="Times New Roman"/>
                <w:sz w:val="20"/>
              </w:rPr>
              <w:t xml:space="preserve">”. W ocenie IARP jest to rozwiązanie zbyt daleko idące. W uzasadnieniu do projektu wskazano, że rozwiązanie to ma przyczynić się do szybkiej realizacji budynków użyteczności publicznej służących lokalnym społecznościom m.in. obiektów kultu, oświaty, działalności leczniczej, społecznej, socjalnej czy obsługi pocztowej. Należy wskazać, że obiekty te należą do grupy obiektów o większym skomplikowaniu, obiektów, w których przebywa często w jednym czasie wiele osób, przez co powinny one zawierać często specjalistyczne rozwiązania służące zaspokajaniu zbiorowych potrzeb. Rozwiązanie takie, nawet przy założeniu pozostawienia funkcji kierownika budowy, może być bardzo niebezpieczne. </w:t>
            </w:r>
            <w:r w:rsidR="00A96CFC">
              <w:rPr>
                <w:rFonts w:ascii="Times New Roman" w:hAnsi="Times New Roman" w:cs="Times New Roman"/>
                <w:sz w:val="20"/>
              </w:rPr>
              <w:t xml:space="preserve">  </w:t>
            </w:r>
            <w:r w:rsidR="0030115D">
              <w:rPr>
                <w:rFonts w:ascii="Times New Roman" w:hAnsi="Times New Roman" w:cs="Times New Roman"/>
                <w:sz w:val="20"/>
              </w:rPr>
              <w:t xml:space="preserve">  </w:t>
            </w:r>
          </w:p>
        </w:tc>
      </w:tr>
      <w:tr w:rsidR="006E1960" w:rsidRPr="00060C94" w14:paraId="35FEBA2A" w14:textId="77777777" w:rsidTr="00A1326C">
        <w:trPr>
          <w:jc w:val="center"/>
        </w:trPr>
        <w:tc>
          <w:tcPr>
            <w:tcW w:w="594" w:type="dxa"/>
          </w:tcPr>
          <w:p w14:paraId="7FF29773" w14:textId="77777777" w:rsidR="006E1960" w:rsidRPr="00060C94" w:rsidRDefault="006E196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18A9266B" w14:textId="7E257114" w:rsidR="006E1960" w:rsidRDefault="006E1960" w:rsidP="006E1960">
            <w:pPr>
              <w:rPr>
                <w:rFonts w:ascii="Times New Roman" w:hAnsi="Times New Roman" w:cs="Times New Roman"/>
                <w:sz w:val="20"/>
              </w:rPr>
            </w:pPr>
            <w:r>
              <w:rPr>
                <w:rFonts w:ascii="Times New Roman" w:hAnsi="Times New Roman" w:cs="Times New Roman"/>
                <w:sz w:val="20"/>
              </w:rPr>
              <w:t>A</w:t>
            </w:r>
            <w:r w:rsidRPr="006E1960">
              <w:rPr>
                <w:rFonts w:ascii="Times New Roman" w:hAnsi="Times New Roman" w:cs="Times New Roman"/>
                <w:sz w:val="20"/>
              </w:rPr>
              <w:t>rt. 29</w:t>
            </w:r>
            <w:r>
              <w:rPr>
                <w:rFonts w:ascii="Times New Roman" w:hAnsi="Times New Roman" w:cs="Times New Roman"/>
                <w:sz w:val="20"/>
              </w:rPr>
              <w:t xml:space="preserve"> </w:t>
            </w:r>
            <w:r w:rsidR="003D3CB0">
              <w:rPr>
                <w:rFonts w:ascii="Times New Roman" w:hAnsi="Times New Roman" w:cs="Times New Roman"/>
                <w:sz w:val="20"/>
              </w:rPr>
              <w:t xml:space="preserve">ust. 1 </w:t>
            </w:r>
            <w:r w:rsidRPr="006E1960">
              <w:rPr>
                <w:rFonts w:ascii="Times New Roman" w:hAnsi="Times New Roman" w:cs="Times New Roman"/>
                <w:sz w:val="20"/>
              </w:rPr>
              <w:t>pkt 22</w:t>
            </w:r>
            <w:r>
              <w:rPr>
                <w:rFonts w:ascii="Times New Roman" w:hAnsi="Times New Roman" w:cs="Times New Roman"/>
                <w:sz w:val="20"/>
              </w:rPr>
              <w:t xml:space="preserve"> oraz </w:t>
            </w:r>
            <w:r w:rsidRPr="006E1960">
              <w:rPr>
                <w:rFonts w:ascii="Times New Roman" w:hAnsi="Times New Roman" w:cs="Times New Roman"/>
                <w:sz w:val="20"/>
              </w:rPr>
              <w:t>pkt 22a</w:t>
            </w:r>
            <w:r>
              <w:rPr>
                <w:rFonts w:ascii="Times New Roman" w:hAnsi="Times New Roman" w:cs="Times New Roman"/>
                <w:sz w:val="20"/>
              </w:rPr>
              <w:t xml:space="preserve"> </w:t>
            </w:r>
            <w:r w:rsidRPr="006E1960">
              <w:rPr>
                <w:rFonts w:ascii="Times New Roman" w:hAnsi="Times New Roman" w:cs="Times New Roman"/>
                <w:sz w:val="20"/>
              </w:rPr>
              <w:t>ustawy nowelizowanej</w:t>
            </w:r>
          </w:p>
        </w:tc>
        <w:tc>
          <w:tcPr>
            <w:tcW w:w="2835" w:type="dxa"/>
            <w:vAlign w:val="center"/>
          </w:tcPr>
          <w:p w14:paraId="579D4007" w14:textId="77777777" w:rsidR="006E1960" w:rsidRPr="006E1960" w:rsidRDefault="006E1960" w:rsidP="006E1960">
            <w:pPr>
              <w:jc w:val="both"/>
              <w:rPr>
                <w:rFonts w:ascii="Times New Roman" w:hAnsi="Times New Roman" w:cs="Times New Roman"/>
                <w:sz w:val="20"/>
              </w:rPr>
            </w:pPr>
            <w:r w:rsidRPr="006E1960">
              <w:rPr>
                <w:rFonts w:ascii="Times New Roman" w:hAnsi="Times New Roman" w:cs="Times New Roman"/>
                <w:sz w:val="20"/>
              </w:rPr>
              <w:t>Izba Architektów RP</w:t>
            </w:r>
          </w:p>
          <w:p w14:paraId="2C33924A" w14:textId="17110903" w:rsidR="006E1960" w:rsidRDefault="006E1960" w:rsidP="006E1960">
            <w:pPr>
              <w:jc w:val="both"/>
              <w:rPr>
                <w:rFonts w:ascii="Times New Roman" w:hAnsi="Times New Roman" w:cs="Times New Roman"/>
                <w:sz w:val="20"/>
              </w:rPr>
            </w:pPr>
          </w:p>
        </w:tc>
        <w:tc>
          <w:tcPr>
            <w:tcW w:w="8477" w:type="dxa"/>
            <w:vAlign w:val="center"/>
          </w:tcPr>
          <w:p w14:paraId="6BD26A8F" w14:textId="03AD621D" w:rsidR="006E1960" w:rsidRPr="006E1960" w:rsidRDefault="006E1960" w:rsidP="006E1960">
            <w:pPr>
              <w:jc w:val="both"/>
              <w:rPr>
                <w:rFonts w:ascii="Times New Roman" w:hAnsi="Times New Roman" w:cs="Times New Roman"/>
                <w:sz w:val="20"/>
              </w:rPr>
            </w:pPr>
            <w:r w:rsidRPr="006E1960">
              <w:rPr>
                <w:rFonts w:ascii="Times New Roman" w:hAnsi="Times New Roman" w:cs="Times New Roman"/>
                <w:sz w:val="20"/>
              </w:rPr>
              <w:t>Dla tarasu nie można określ</w:t>
            </w:r>
            <w:r w:rsidR="00E92DE0">
              <w:rPr>
                <w:rFonts w:ascii="Times New Roman" w:hAnsi="Times New Roman" w:cs="Times New Roman"/>
                <w:sz w:val="20"/>
              </w:rPr>
              <w:t>i</w:t>
            </w:r>
            <w:r w:rsidRPr="006E1960">
              <w:rPr>
                <w:rFonts w:ascii="Times New Roman" w:hAnsi="Times New Roman" w:cs="Times New Roman"/>
                <w:sz w:val="20"/>
              </w:rPr>
              <w:t>ć powierzchni zabudowy</w:t>
            </w:r>
            <w:r w:rsidR="00E92DE0">
              <w:rPr>
                <w:rFonts w:ascii="Times New Roman" w:hAnsi="Times New Roman" w:cs="Times New Roman"/>
                <w:sz w:val="20"/>
              </w:rPr>
              <w:t>, stąd proponuje się w</w:t>
            </w:r>
            <w:r w:rsidRPr="006E1960">
              <w:rPr>
                <w:rFonts w:ascii="Times New Roman" w:hAnsi="Times New Roman" w:cs="Times New Roman"/>
                <w:sz w:val="20"/>
              </w:rPr>
              <w:t xml:space="preserve">ykreślić </w:t>
            </w:r>
            <w:r w:rsidR="00E92DE0">
              <w:rPr>
                <w:rFonts w:ascii="Times New Roman" w:hAnsi="Times New Roman" w:cs="Times New Roman"/>
                <w:sz w:val="20"/>
              </w:rPr>
              <w:t>wyraz</w:t>
            </w:r>
            <w:r w:rsidRPr="006E1960">
              <w:rPr>
                <w:rFonts w:ascii="Times New Roman" w:hAnsi="Times New Roman" w:cs="Times New Roman"/>
                <w:sz w:val="20"/>
              </w:rPr>
              <w:t xml:space="preserve"> „zabudowy”.</w:t>
            </w:r>
          </w:p>
          <w:p w14:paraId="024ED003" w14:textId="3FE5B09E" w:rsidR="006E1960" w:rsidRPr="006E1960" w:rsidRDefault="00E92DE0" w:rsidP="006E1960">
            <w:pPr>
              <w:jc w:val="both"/>
              <w:rPr>
                <w:rFonts w:ascii="Times New Roman" w:hAnsi="Times New Roman" w:cs="Times New Roman"/>
                <w:sz w:val="20"/>
              </w:rPr>
            </w:pPr>
            <w:r>
              <w:rPr>
                <w:rFonts w:ascii="Times New Roman" w:hAnsi="Times New Roman" w:cs="Times New Roman"/>
                <w:sz w:val="20"/>
              </w:rPr>
              <w:t xml:space="preserve">Propozycja brzmienia: </w:t>
            </w:r>
          </w:p>
          <w:p w14:paraId="248EB179" w14:textId="471B4197" w:rsidR="006E1960" w:rsidRPr="006E1960" w:rsidRDefault="006E1960" w:rsidP="006E1960">
            <w:pPr>
              <w:jc w:val="both"/>
              <w:rPr>
                <w:rFonts w:ascii="Times New Roman" w:hAnsi="Times New Roman" w:cs="Times New Roman"/>
                <w:sz w:val="20"/>
              </w:rPr>
            </w:pPr>
            <w:r w:rsidRPr="006E1960">
              <w:rPr>
                <w:rFonts w:ascii="Times New Roman" w:hAnsi="Times New Roman" w:cs="Times New Roman"/>
                <w:sz w:val="20"/>
              </w:rPr>
              <w:t>„22)</w:t>
            </w:r>
            <w:r w:rsidR="0087296A">
              <w:rPr>
                <w:rFonts w:ascii="Times New Roman" w:hAnsi="Times New Roman" w:cs="Times New Roman"/>
                <w:sz w:val="20"/>
              </w:rPr>
              <w:t xml:space="preserve"> </w:t>
            </w:r>
            <w:r w:rsidRPr="006E1960">
              <w:rPr>
                <w:rFonts w:ascii="Times New Roman" w:hAnsi="Times New Roman" w:cs="Times New Roman"/>
                <w:sz w:val="20"/>
              </w:rPr>
              <w:t xml:space="preserve">niezadaszonych przydomowych tarasów naziemnych o powierzchni </w:t>
            </w:r>
            <w:r w:rsidRPr="0087296A">
              <w:rPr>
                <w:rFonts w:ascii="Times New Roman" w:hAnsi="Times New Roman" w:cs="Times New Roman"/>
                <w:strike/>
                <w:color w:val="FF0000"/>
                <w:sz w:val="20"/>
              </w:rPr>
              <w:t>zabudowy</w:t>
            </w:r>
            <w:r w:rsidRPr="006E1960">
              <w:rPr>
                <w:rFonts w:ascii="Times New Roman" w:hAnsi="Times New Roman" w:cs="Times New Roman"/>
                <w:sz w:val="20"/>
              </w:rPr>
              <w:t xml:space="preserve"> większej niż 35 m2;”</w:t>
            </w:r>
            <w:r w:rsidR="0087296A">
              <w:rPr>
                <w:rFonts w:ascii="Times New Roman" w:hAnsi="Times New Roman" w:cs="Times New Roman"/>
                <w:sz w:val="20"/>
              </w:rPr>
              <w:t xml:space="preserve">; </w:t>
            </w:r>
          </w:p>
          <w:p w14:paraId="4947C2DA" w14:textId="77777777" w:rsidR="000B406E" w:rsidRDefault="006E1960" w:rsidP="006E1960">
            <w:pPr>
              <w:jc w:val="both"/>
              <w:rPr>
                <w:rFonts w:ascii="Times New Roman" w:hAnsi="Times New Roman" w:cs="Times New Roman"/>
                <w:sz w:val="20"/>
              </w:rPr>
            </w:pPr>
            <w:r w:rsidRPr="006E1960">
              <w:rPr>
                <w:rFonts w:ascii="Times New Roman" w:hAnsi="Times New Roman" w:cs="Times New Roman"/>
                <w:sz w:val="20"/>
              </w:rPr>
              <w:t>„22a)</w:t>
            </w:r>
            <w:r w:rsidR="0087296A">
              <w:rPr>
                <w:rFonts w:ascii="Times New Roman" w:hAnsi="Times New Roman" w:cs="Times New Roman"/>
                <w:sz w:val="20"/>
              </w:rPr>
              <w:t xml:space="preserve"> </w:t>
            </w:r>
            <w:r w:rsidRPr="006E1960">
              <w:rPr>
                <w:rFonts w:ascii="Times New Roman" w:hAnsi="Times New Roman" w:cs="Times New Roman"/>
                <w:sz w:val="20"/>
              </w:rPr>
              <w:t xml:space="preserve">zadaszonych przydomowych tarasów naziemnych o powierzchni </w:t>
            </w:r>
            <w:r w:rsidRPr="0087296A">
              <w:rPr>
                <w:rFonts w:ascii="Times New Roman" w:hAnsi="Times New Roman" w:cs="Times New Roman"/>
                <w:strike/>
                <w:color w:val="FF0000"/>
                <w:sz w:val="20"/>
              </w:rPr>
              <w:t>zabudowy</w:t>
            </w:r>
            <w:r w:rsidRPr="006E1960">
              <w:rPr>
                <w:rFonts w:ascii="Times New Roman" w:hAnsi="Times New Roman" w:cs="Times New Roman"/>
                <w:sz w:val="20"/>
              </w:rPr>
              <w:t xml:space="preserve"> tarasu większej niż 35 m2 oraz o powierzchni dachu nie większej niż </w:t>
            </w:r>
            <w:r w:rsidRPr="00473EA9">
              <w:rPr>
                <w:rFonts w:ascii="Times New Roman" w:hAnsi="Times New Roman" w:cs="Times New Roman"/>
                <w:strike/>
                <w:color w:val="FF0000"/>
                <w:sz w:val="20"/>
              </w:rPr>
              <w:t>50</w:t>
            </w:r>
            <w:r w:rsidRPr="006E1960">
              <w:rPr>
                <w:rFonts w:ascii="Times New Roman" w:hAnsi="Times New Roman" w:cs="Times New Roman"/>
                <w:sz w:val="20"/>
              </w:rPr>
              <w:t xml:space="preserve"> </w:t>
            </w:r>
            <w:r w:rsidR="00473EA9" w:rsidRPr="00473EA9">
              <w:rPr>
                <w:rFonts w:ascii="Times New Roman" w:hAnsi="Times New Roman" w:cs="Times New Roman"/>
                <w:color w:val="4F81BD" w:themeColor="accent1"/>
                <w:sz w:val="20"/>
              </w:rPr>
              <w:t>35</w:t>
            </w:r>
            <w:r w:rsidR="00473EA9">
              <w:rPr>
                <w:rFonts w:ascii="Times New Roman" w:hAnsi="Times New Roman" w:cs="Times New Roman"/>
                <w:sz w:val="20"/>
              </w:rPr>
              <w:t xml:space="preserve"> </w:t>
            </w:r>
            <w:r w:rsidRPr="006E1960">
              <w:rPr>
                <w:rFonts w:ascii="Times New Roman" w:hAnsi="Times New Roman" w:cs="Times New Roman"/>
                <w:sz w:val="20"/>
              </w:rPr>
              <w:t>m2, z zastrzeżeniem ust. 2 pkt 31a;”</w:t>
            </w:r>
            <w:r w:rsidR="0087296A">
              <w:rPr>
                <w:rFonts w:ascii="Times New Roman" w:hAnsi="Times New Roman" w:cs="Times New Roman"/>
                <w:sz w:val="20"/>
              </w:rPr>
              <w:t>.</w:t>
            </w:r>
          </w:p>
          <w:p w14:paraId="1D09E968" w14:textId="5B34600F" w:rsidR="000B406E" w:rsidRPr="000B406E" w:rsidRDefault="000B406E" w:rsidP="000B406E">
            <w:pPr>
              <w:jc w:val="both"/>
              <w:rPr>
                <w:rFonts w:ascii="Times New Roman" w:hAnsi="Times New Roman" w:cs="Times New Roman"/>
                <w:sz w:val="20"/>
              </w:rPr>
            </w:pPr>
            <w:r w:rsidRPr="000B406E">
              <w:rPr>
                <w:rFonts w:ascii="Times New Roman" w:hAnsi="Times New Roman" w:cs="Times New Roman"/>
                <w:sz w:val="20"/>
              </w:rPr>
              <w:t>Z zapisu wynika</w:t>
            </w:r>
            <w:r>
              <w:rPr>
                <w:rFonts w:ascii="Times New Roman" w:hAnsi="Times New Roman" w:cs="Times New Roman"/>
                <w:sz w:val="20"/>
              </w:rPr>
              <w:t>,</w:t>
            </w:r>
            <w:r w:rsidRPr="000B406E">
              <w:rPr>
                <w:rFonts w:ascii="Times New Roman" w:hAnsi="Times New Roman" w:cs="Times New Roman"/>
                <w:sz w:val="20"/>
              </w:rPr>
              <w:t xml:space="preserve"> że taras zadaszony o powierzchni dachu 50m2 może być na zgłoszenie a 51m2 już </w:t>
            </w:r>
            <w:proofErr w:type="gramStart"/>
            <w:r w:rsidRPr="000B406E">
              <w:rPr>
                <w:rFonts w:ascii="Times New Roman" w:hAnsi="Times New Roman" w:cs="Times New Roman"/>
                <w:sz w:val="20"/>
              </w:rPr>
              <w:t>nie</w:t>
            </w:r>
            <w:proofErr w:type="gramEnd"/>
            <w:r>
              <w:rPr>
                <w:rFonts w:ascii="Times New Roman" w:hAnsi="Times New Roman" w:cs="Times New Roman"/>
                <w:sz w:val="20"/>
              </w:rPr>
              <w:t xml:space="preserve"> </w:t>
            </w:r>
            <w:r w:rsidRPr="000B406E">
              <w:rPr>
                <w:rFonts w:ascii="Times New Roman" w:hAnsi="Times New Roman" w:cs="Times New Roman"/>
                <w:sz w:val="20"/>
              </w:rPr>
              <w:t xml:space="preserve">czyli będzie wymagał pozwolenia. Nie ma uzasadnienia dla takiej powierzchni.  Mamy zatem tarasy bez pozwolenia i zgłoszenia (31,31a) i bez pozwolenia a na zgłoszenie (22 i 22a)  </w:t>
            </w:r>
          </w:p>
          <w:p w14:paraId="517FFC4B" w14:textId="204C075C" w:rsidR="006E1960" w:rsidRDefault="000B406E" w:rsidP="000B406E">
            <w:pPr>
              <w:jc w:val="both"/>
              <w:rPr>
                <w:rFonts w:ascii="Times New Roman" w:hAnsi="Times New Roman" w:cs="Times New Roman"/>
                <w:sz w:val="20"/>
              </w:rPr>
            </w:pPr>
            <w:r w:rsidRPr="000B406E">
              <w:rPr>
                <w:rFonts w:ascii="Times New Roman" w:hAnsi="Times New Roman" w:cs="Times New Roman"/>
                <w:sz w:val="20"/>
              </w:rPr>
              <w:t>Proponuje się pozostawić 35 m2 zadaszenia w jednym i drugim przypadku.</w:t>
            </w:r>
          </w:p>
        </w:tc>
      </w:tr>
      <w:tr w:rsidR="003D3CB0" w:rsidRPr="00060C94" w14:paraId="36CE54A8" w14:textId="77777777" w:rsidTr="00A1326C">
        <w:trPr>
          <w:jc w:val="center"/>
        </w:trPr>
        <w:tc>
          <w:tcPr>
            <w:tcW w:w="594" w:type="dxa"/>
          </w:tcPr>
          <w:p w14:paraId="772CBF2A" w14:textId="77777777" w:rsidR="003D3CB0" w:rsidRPr="00060C94" w:rsidRDefault="003D3CB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4F2B39BB" w14:textId="0B6B926D" w:rsidR="003D3CB0" w:rsidRPr="003D3CB0" w:rsidRDefault="003D3CB0" w:rsidP="003D3CB0">
            <w:pPr>
              <w:rPr>
                <w:rFonts w:ascii="Times New Roman" w:hAnsi="Times New Roman" w:cs="Times New Roman"/>
                <w:sz w:val="20"/>
              </w:rPr>
            </w:pPr>
            <w:r>
              <w:rPr>
                <w:rFonts w:ascii="Times New Roman" w:hAnsi="Times New Roman" w:cs="Times New Roman"/>
                <w:sz w:val="20"/>
              </w:rPr>
              <w:t>A</w:t>
            </w:r>
            <w:r w:rsidRPr="003D3CB0">
              <w:rPr>
                <w:rFonts w:ascii="Times New Roman" w:hAnsi="Times New Roman" w:cs="Times New Roman"/>
                <w:sz w:val="20"/>
              </w:rPr>
              <w:t>rt. 29. ust. 1</w:t>
            </w:r>
          </w:p>
          <w:p w14:paraId="0AAEB6DB" w14:textId="346F23FD" w:rsidR="003D3CB0" w:rsidRDefault="003D3CB0" w:rsidP="003D3CB0">
            <w:pPr>
              <w:rPr>
                <w:rFonts w:ascii="Times New Roman" w:hAnsi="Times New Roman" w:cs="Times New Roman"/>
                <w:sz w:val="20"/>
              </w:rPr>
            </w:pPr>
            <w:r w:rsidRPr="003D3CB0">
              <w:rPr>
                <w:rFonts w:ascii="Times New Roman" w:hAnsi="Times New Roman" w:cs="Times New Roman"/>
                <w:sz w:val="20"/>
              </w:rPr>
              <w:t>pkt 40</w:t>
            </w:r>
            <w:r>
              <w:rPr>
                <w:rFonts w:ascii="Times New Roman" w:hAnsi="Times New Roman" w:cs="Times New Roman"/>
                <w:sz w:val="20"/>
              </w:rPr>
              <w:t xml:space="preserve"> ustawy nowelizowanej</w:t>
            </w:r>
          </w:p>
        </w:tc>
        <w:tc>
          <w:tcPr>
            <w:tcW w:w="2835" w:type="dxa"/>
            <w:vAlign w:val="center"/>
          </w:tcPr>
          <w:p w14:paraId="25BE1E0D" w14:textId="77777777" w:rsidR="003D3CB0" w:rsidRPr="003D3CB0" w:rsidRDefault="003D3CB0" w:rsidP="003D3CB0">
            <w:pPr>
              <w:jc w:val="both"/>
              <w:rPr>
                <w:rFonts w:ascii="Times New Roman" w:hAnsi="Times New Roman" w:cs="Times New Roman"/>
                <w:sz w:val="20"/>
              </w:rPr>
            </w:pPr>
            <w:r w:rsidRPr="003D3CB0">
              <w:rPr>
                <w:rFonts w:ascii="Times New Roman" w:hAnsi="Times New Roman" w:cs="Times New Roman"/>
                <w:sz w:val="20"/>
              </w:rPr>
              <w:t>Izba Architektów RP</w:t>
            </w:r>
          </w:p>
          <w:p w14:paraId="6BA9A821" w14:textId="03936846" w:rsidR="003D3CB0" w:rsidRPr="006E1960" w:rsidRDefault="003D3CB0" w:rsidP="003D3CB0">
            <w:pPr>
              <w:jc w:val="both"/>
              <w:rPr>
                <w:rFonts w:ascii="Times New Roman" w:hAnsi="Times New Roman" w:cs="Times New Roman"/>
                <w:sz w:val="20"/>
              </w:rPr>
            </w:pPr>
          </w:p>
        </w:tc>
        <w:tc>
          <w:tcPr>
            <w:tcW w:w="8477" w:type="dxa"/>
            <w:vAlign w:val="center"/>
          </w:tcPr>
          <w:p w14:paraId="243914F6" w14:textId="60359039" w:rsidR="003D3CB0" w:rsidRPr="003D3CB0" w:rsidRDefault="003D3CB0" w:rsidP="003D3CB0">
            <w:pPr>
              <w:jc w:val="both"/>
              <w:rPr>
                <w:rFonts w:ascii="Times New Roman" w:hAnsi="Times New Roman" w:cs="Times New Roman"/>
                <w:sz w:val="20"/>
              </w:rPr>
            </w:pPr>
            <w:r>
              <w:rPr>
                <w:rFonts w:ascii="Times New Roman" w:hAnsi="Times New Roman" w:cs="Times New Roman"/>
                <w:sz w:val="20"/>
              </w:rPr>
              <w:t>W</w:t>
            </w:r>
            <w:r w:rsidRPr="003D3CB0">
              <w:rPr>
                <w:rFonts w:ascii="Times New Roman" w:hAnsi="Times New Roman" w:cs="Times New Roman"/>
                <w:sz w:val="20"/>
              </w:rPr>
              <w:t>arto dodać minimalną wielkość</w:t>
            </w:r>
            <w:r>
              <w:rPr>
                <w:rFonts w:ascii="Times New Roman" w:hAnsi="Times New Roman" w:cs="Times New Roman"/>
                <w:sz w:val="20"/>
              </w:rPr>
              <w:t>,</w:t>
            </w:r>
            <w:r w:rsidRPr="003D3CB0">
              <w:rPr>
                <w:rFonts w:ascii="Times New Roman" w:hAnsi="Times New Roman" w:cs="Times New Roman"/>
                <w:sz w:val="20"/>
              </w:rPr>
              <w:t xml:space="preserve"> która nie wymaga ani zgłoszenia</w:t>
            </w:r>
            <w:r>
              <w:rPr>
                <w:rFonts w:ascii="Times New Roman" w:hAnsi="Times New Roman" w:cs="Times New Roman"/>
                <w:sz w:val="20"/>
              </w:rPr>
              <w:t>,</w:t>
            </w:r>
            <w:r w:rsidRPr="003D3CB0">
              <w:rPr>
                <w:rFonts w:ascii="Times New Roman" w:hAnsi="Times New Roman" w:cs="Times New Roman"/>
                <w:sz w:val="20"/>
              </w:rPr>
              <w:t xml:space="preserve"> ani pozwolenia. Przewyższenie 0,5m konstrukcyjnie nie jest traktowane jako mur oporowy. </w:t>
            </w:r>
            <w:r w:rsidR="00473EA9">
              <w:rPr>
                <w:rFonts w:ascii="Times New Roman" w:hAnsi="Times New Roman" w:cs="Times New Roman"/>
                <w:sz w:val="20"/>
              </w:rPr>
              <w:t xml:space="preserve"> </w:t>
            </w:r>
          </w:p>
          <w:p w14:paraId="7B2C79C9" w14:textId="6A3D9EF2" w:rsidR="003D3CB0" w:rsidRDefault="003D3CB0" w:rsidP="003D3CB0">
            <w:pPr>
              <w:jc w:val="both"/>
              <w:rPr>
                <w:rFonts w:ascii="Times New Roman" w:hAnsi="Times New Roman" w:cs="Times New Roman"/>
                <w:sz w:val="20"/>
              </w:rPr>
            </w:pPr>
            <w:r w:rsidRPr="003D3CB0">
              <w:rPr>
                <w:rFonts w:ascii="Times New Roman" w:hAnsi="Times New Roman" w:cs="Times New Roman"/>
                <w:sz w:val="20"/>
              </w:rPr>
              <w:t>Wysokość 1m to prosty mur, który może być zgłoszony.</w:t>
            </w:r>
          </w:p>
          <w:p w14:paraId="59079CDA" w14:textId="3DEE3B99" w:rsidR="003D3CB0" w:rsidRDefault="003D3CB0" w:rsidP="003D3CB0">
            <w:pPr>
              <w:jc w:val="both"/>
              <w:rPr>
                <w:rFonts w:ascii="Times New Roman" w:hAnsi="Times New Roman" w:cs="Times New Roman"/>
                <w:sz w:val="20"/>
              </w:rPr>
            </w:pPr>
            <w:r>
              <w:rPr>
                <w:rFonts w:ascii="Times New Roman" w:hAnsi="Times New Roman" w:cs="Times New Roman"/>
                <w:sz w:val="20"/>
              </w:rPr>
              <w:t>Propozycja zapisu:</w:t>
            </w:r>
          </w:p>
          <w:p w14:paraId="5A8E1BE1" w14:textId="7D7F96AB" w:rsidR="003D3CB0" w:rsidRPr="003D3CB0" w:rsidRDefault="003D3CB0" w:rsidP="003D3CB0">
            <w:pPr>
              <w:jc w:val="both"/>
              <w:rPr>
                <w:rFonts w:ascii="Times New Roman" w:hAnsi="Times New Roman" w:cs="Times New Roman"/>
                <w:sz w:val="20"/>
              </w:rPr>
            </w:pPr>
            <w:r>
              <w:rPr>
                <w:rFonts w:ascii="Times New Roman" w:hAnsi="Times New Roman" w:cs="Times New Roman"/>
                <w:sz w:val="20"/>
              </w:rPr>
              <w:t>„</w:t>
            </w:r>
            <w:r w:rsidRPr="003D3CB0">
              <w:rPr>
                <w:rFonts w:ascii="Times New Roman" w:hAnsi="Times New Roman" w:cs="Times New Roman"/>
                <w:sz w:val="20"/>
              </w:rPr>
              <w:t xml:space="preserve">40) murów oporowych o wysokości od </w:t>
            </w:r>
            <w:r w:rsidRPr="00742CF8">
              <w:rPr>
                <w:rFonts w:ascii="Times New Roman" w:hAnsi="Times New Roman" w:cs="Times New Roman"/>
                <w:color w:val="4F81BD" w:themeColor="accent1"/>
                <w:sz w:val="20"/>
              </w:rPr>
              <w:t>0,5m</w:t>
            </w:r>
            <w:r w:rsidRPr="003D3CB0">
              <w:rPr>
                <w:rFonts w:ascii="Times New Roman" w:hAnsi="Times New Roman" w:cs="Times New Roman"/>
                <w:sz w:val="20"/>
              </w:rPr>
              <w:t xml:space="preserve"> do </w:t>
            </w:r>
            <w:r w:rsidRPr="00742CF8">
              <w:rPr>
                <w:rFonts w:ascii="Times New Roman" w:hAnsi="Times New Roman" w:cs="Times New Roman"/>
                <w:strike/>
                <w:color w:val="FF0000"/>
                <w:sz w:val="20"/>
              </w:rPr>
              <w:t>0,80</w:t>
            </w:r>
            <w:r w:rsidRPr="003D3CB0">
              <w:rPr>
                <w:rFonts w:ascii="Times New Roman" w:hAnsi="Times New Roman" w:cs="Times New Roman"/>
                <w:sz w:val="20"/>
              </w:rPr>
              <w:t xml:space="preserve"> </w:t>
            </w:r>
            <w:r w:rsidRPr="00742CF8">
              <w:rPr>
                <w:rFonts w:ascii="Times New Roman" w:hAnsi="Times New Roman" w:cs="Times New Roman"/>
                <w:color w:val="4F81BD" w:themeColor="accent1"/>
                <w:sz w:val="20"/>
              </w:rPr>
              <w:t>1,0</w:t>
            </w:r>
            <w:r w:rsidRPr="003D3CB0">
              <w:rPr>
                <w:rFonts w:ascii="Times New Roman" w:hAnsi="Times New Roman" w:cs="Times New Roman"/>
                <w:sz w:val="20"/>
              </w:rPr>
              <w:t xml:space="preserve"> m.</w:t>
            </w:r>
            <w:r>
              <w:rPr>
                <w:rFonts w:ascii="Times New Roman" w:hAnsi="Times New Roman" w:cs="Times New Roman"/>
                <w:sz w:val="20"/>
              </w:rPr>
              <w:t>”.</w:t>
            </w:r>
          </w:p>
          <w:p w14:paraId="66A3D925" w14:textId="58256F66" w:rsidR="003D3CB0" w:rsidRPr="006E1960" w:rsidRDefault="003D3CB0" w:rsidP="003D3CB0">
            <w:pPr>
              <w:jc w:val="both"/>
              <w:rPr>
                <w:rFonts w:ascii="Times New Roman" w:hAnsi="Times New Roman" w:cs="Times New Roman"/>
                <w:sz w:val="20"/>
              </w:rPr>
            </w:pPr>
            <w:r w:rsidRPr="003D3CB0">
              <w:rPr>
                <w:rFonts w:ascii="Times New Roman" w:hAnsi="Times New Roman" w:cs="Times New Roman"/>
                <w:sz w:val="20"/>
              </w:rPr>
              <w:t xml:space="preserve">Wymaga </w:t>
            </w:r>
            <w:r w:rsidR="00742CF8">
              <w:rPr>
                <w:rFonts w:ascii="Times New Roman" w:hAnsi="Times New Roman" w:cs="Times New Roman"/>
                <w:sz w:val="20"/>
              </w:rPr>
              <w:t xml:space="preserve">również </w:t>
            </w:r>
            <w:r w:rsidRPr="003D3CB0">
              <w:rPr>
                <w:rFonts w:ascii="Times New Roman" w:hAnsi="Times New Roman" w:cs="Times New Roman"/>
                <w:sz w:val="20"/>
              </w:rPr>
              <w:t xml:space="preserve">zmiany </w:t>
            </w:r>
            <w:r w:rsidR="00890631">
              <w:rPr>
                <w:rFonts w:ascii="Times New Roman" w:hAnsi="Times New Roman" w:cs="Times New Roman"/>
                <w:sz w:val="20"/>
              </w:rPr>
              <w:t xml:space="preserve">w </w:t>
            </w:r>
            <w:r>
              <w:rPr>
                <w:rFonts w:ascii="Times New Roman" w:hAnsi="Times New Roman" w:cs="Times New Roman"/>
                <w:sz w:val="20"/>
              </w:rPr>
              <w:t xml:space="preserve">ust </w:t>
            </w:r>
            <w:r w:rsidRPr="003D3CB0">
              <w:rPr>
                <w:rFonts w:ascii="Times New Roman" w:hAnsi="Times New Roman" w:cs="Times New Roman"/>
                <w:sz w:val="20"/>
              </w:rPr>
              <w:t>2. Do art. 29. ust. 2 dodać pkt 34</w:t>
            </w:r>
            <w:r w:rsidR="00890631">
              <w:rPr>
                <w:rFonts w:ascii="Times New Roman" w:hAnsi="Times New Roman" w:cs="Times New Roman"/>
                <w:sz w:val="20"/>
              </w:rPr>
              <w:t xml:space="preserve"> dotyczący</w:t>
            </w:r>
            <w:r w:rsidRPr="003D3CB0">
              <w:rPr>
                <w:rFonts w:ascii="Times New Roman" w:hAnsi="Times New Roman" w:cs="Times New Roman"/>
                <w:sz w:val="20"/>
              </w:rPr>
              <w:t xml:space="preserve"> murów oporowych do 0,5</w:t>
            </w:r>
            <w:r w:rsidR="00890631">
              <w:rPr>
                <w:rFonts w:ascii="Times New Roman" w:hAnsi="Times New Roman" w:cs="Times New Roman"/>
                <w:sz w:val="20"/>
              </w:rPr>
              <w:t xml:space="preserve"> </w:t>
            </w:r>
            <w:r w:rsidRPr="003D3CB0">
              <w:rPr>
                <w:rFonts w:ascii="Times New Roman" w:hAnsi="Times New Roman" w:cs="Times New Roman"/>
                <w:sz w:val="20"/>
              </w:rPr>
              <w:t>m</w:t>
            </w:r>
            <w:r w:rsidR="00890631">
              <w:rPr>
                <w:rFonts w:ascii="Times New Roman" w:hAnsi="Times New Roman" w:cs="Times New Roman"/>
                <w:sz w:val="20"/>
              </w:rPr>
              <w:t xml:space="preserve">.   </w:t>
            </w:r>
          </w:p>
        </w:tc>
      </w:tr>
      <w:tr w:rsidR="00D700BA" w:rsidRPr="00060C94" w14:paraId="751C1787" w14:textId="77777777" w:rsidTr="00A1326C">
        <w:trPr>
          <w:jc w:val="center"/>
        </w:trPr>
        <w:tc>
          <w:tcPr>
            <w:tcW w:w="594" w:type="dxa"/>
          </w:tcPr>
          <w:p w14:paraId="737C1642" w14:textId="77777777" w:rsidR="00D700BA" w:rsidRPr="00060C94" w:rsidRDefault="00D700BA"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7A6ED0DE" w14:textId="069F2178" w:rsidR="00D700BA" w:rsidRPr="00D700BA" w:rsidRDefault="0097009D" w:rsidP="00D700BA">
            <w:pPr>
              <w:rPr>
                <w:rFonts w:ascii="Times New Roman" w:hAnsi="Times New Roman" w:cs="Times New Roman"/>
                <w:sz w:val="20"/>
              </w:rPr>
            </w:pPr>
            <w:r>
              <w:rPr>
                <w:rFonts w:ascii="Times New Roman" w:hAnsi="Times New Roman" w:cs="Times New Roman"/>
                <w:sz w:val="20"/>
              </w:rPr>
              <w:t>A</w:t>
            </w:r>
            <w:r w:rsidR="00D700BA" w:rsidRPr="00D700BA">
              <w:rPr>
                <w:rFonts w:ascii="Times New Roman" w:hAnsi="Times New Roman" w:cs="Times New Roman"/>
                <w:sz w:val="20"/>
              </w:rPr>
              <w:t>rt. 29 ust. 2. pkt 31</w:t>
            </w:r>
            <w:r w:rsidR="00D700BA">
              <w:rPr>
                <w:rFonts w:ascii="Times New Roman" w:hAnsi="Times New Roman" w:cs="Times New Roman"/>
                <w:sz w:val="20"/>
              </w:rPr>
              <w:t xml:space="preserve"> oraz</w:t>
            </w:r>
            <w:r w:rsidR="00D700BA" w:rsidRPr="00D700BA">
              <w:rPr>
                <w:rFonts w:ascii="Times New Roman" w:hAnsi="Times New Roman" w:cs="Times New Roman"/>
                <w:sz w:val="20"/>
              </w:rPr>
              <w:t xml:space="preserve"> 31a usta</w:t>
            </w:r>
            <w:r w:rsidR="00D700BA">
              <w:rPr>
                <w:rFonts w:ascii="Times New Roman" w:hAnsi="Times New Roman" w:cs="Times New Roman"/>
                <w:sz w:val="20"/>
              </w:rPr>
              <w:t>wy nowelizowanej</w:t>
            </w:r>
          </w:p>
        </w:tc>
        <w:tc>
          <w:tcPr>
            <w:tcW w:w="2835" w:type="dxa"/>
            <w:vAlign w:val="center"/>
          </w:tcPr>
          <w:p w14:paraId="710ED64B" w14:textId="77777777" w:rsidR="00D700BA" w:rsidRPr="00D700BA" w:rsidRDefault="00D700BA" w:rsidP="00D700BA">
            <w:pPr>
              <w:jc w:val="both"/>
              <w:rPr>
                <w:rFonts w:ascii="Times New Roman" w:hAnsi="Times New Roman" w:cs="Times New Roman"/>
                <w:sz w:val="20"/>
              </w:rPr>
            </w:pPr>
            <w:r w:rsidRPr="00D700BA">
              <w:rPr>
                <w:rFonts w:ascii="Times New Roman" w:hAnsi="Times New Roman" w:cs="Times New Roman"/>
                <w:sz w:val="20"/>
              </w:rPr>
              <w:t>Izba Architektów RP</w:t>
            </w:r>
          </w:p>
          <w:p w14:paraId="084FCE43" w14:textId="4913F10A" w:rsidR="00D700BA" w:rsidRPr="003D3CB0" w:rsidRDefault="00D700BA" w:rsidP="00D700BA">
            <w:pPr>
              <w:jc w:val="both"/>
              <w:rPr>
                <w:rFonts w:ascii="Times New Roman" w:hAnsi="Times New Roman" w:cs="Times New Roman"/>
                <w:sz w:val="20"/>
              </w:rPr>
            </w:pPr>
          </w:p>
        </w:tc>
        <w:tc>
          <w:tcPr>
            <w:tcW w:w="8477" w:type="dxa"/>
            <w:vAlign w:val="center"/>
          </w:tcPr>
          <w:p w14:paraId="5DBDEA31" w14:textId="77777777" w:rsidR="00D700BA" w:rsidRPr="00D700BA" w:rsidRDefault="00D700BA" w:rsidP="00D700BA">
            <w:pPr>
              <w:jc w:val="both"/>
              <w:rPr>
                <w:rFonts w:ascii="Times New Roman" w:hAnsi="Times New Roman" w:cs="Times New Roman"/>
                <w:sz w:val="20"/>
              </w:rPr>
            </w:pPr>
            <w:r w:rsidRPr="00D700BA">
              <w:rPr>
                <w:rFonts w:ascii="Times New Roman" w:hAnsi="Times New Roman" w:cs="Times New Roman"/>
                <w:sz w:val="20"/>
              </w:rPr>
              <w:t>Dla tarasu nie można określić powierzchni zabudowy, stąd proponuje się wykreślić wyraz „zabudowy”.</w:t>
            </w:r>
          </w:p>
          <w:p w14:paraId="721DCA2B" w14:textId="77777777" w:rsidR="00D700BA" w:rsidRDefault="00D700BA" w:rsidP="00D700BA">
            <w:pPr>
              <w:jc w:val="both"/>
              <w:rPr>
                <w:rFonts w:ascii="Times New Roman" w:hAnsi="Times New Roman" w:cs="Times New Roman"/>
                <w:sz w:val="20"/>
              </w:rPr>
            </w:pPr>
            <w:r w:rsidRPr="00D700BA">
              <w:rPr>
                <w:rFonts w:ascii="Times New Roman" w:hAnsi="Times New Roman" w:cs="Times New Roman"/>
                <w:sz w:val="20"/>
              </w:rPr>
              <w:t>Propozycja brzmienia:</w:t>
            </w:r>
          </w:p>
          <w:p w14:paraId="0BF6B501" w14:textId="5FBF0BDC" w:rsidR="00D700BA" w:rsidRDefault="00D700BA" w:rsidP="00D700BA">
            <w:pPr>
              <w:jc w:val="both"/>
              <w:rPr>
                <w:rFonts w:ascii="Times New Roman" w:hAnsi="Times New Roman" w:cs="Times New Roman"/>
                <w:sz w:val="20"/>
              </w:rPr>
            </w:pPr>
            <w:r w:rsidRPr="00D700BA">
              <w:rPr>
                <w:rFonts w:ascii="Times New Roman" w:hAnsi="Times New Roman" w:cs="Times New Roman"/>
                <w:sz w:val="20"/>
              </w:rPr>
              <w:t xml:space="preserve">„31) niezadaszonych przydomowych tarasów naziemnych o powierzchni </w:t>
            </w:r>
            <w:r w:rsidRPr="00D700BA">
              <w:rPr>
                <w:rFonts w:ascii="Times New Roman" w:hAnsi="Times New Roman" w:cs="Times New Roman"/>
                <w:strike/>
                <w:color w:val="FF0000"/>
                <w:sz w:val="20"/>
              </w:rPr>
              <w:t>zabudowy</w:t>
            </w:r>
            <w:r w:rsidRPr="00D700BA">
              <w:rPr>
                <w:rFonts w:ascii="Times New Roman" w:hAnsi="Times New Roman" w:cs="Times New Roman"/>
                <w:sz w:val="20"/>
              </w:rPr>
              <w:t xml:space="preserve"> nie większej niż 35 m2;”,</w:t>
            </w:r>
          </w:p>
          <w:p w14:paraId="78A88C52" w14:textId="3727012A" w:rsidR="00D700BA" w:rsidRDefault="00D700BA" w:rsidP="00D700BA">
            <w:pPr>
              <w:jc w:val="both"/>
              <w:rPr>
                <w:rFonts w:ascii="Times New Roman" w:hAnsi="Times New Roman" w:cs="Times New Roman"/>
                <w:sz w:val="20"/>
              </w:rPr>
            </w:pPr>
            <w:r w:rsidRPr="00D700BA">
              <w:rPr>
                <w:rFonts w:ascii="Times New Roman" w:hAnsi="Times New Roman" w:cs="Times New Roman"/>
                <w:sz w:val="20"/>
              </w:rPr>
              <w:t>„31a)</w:t>
            </w:r>
            <w:r>
              <w:rPr>
                <w:rFonts w:ascii="Times New Roman" w:hAnsi="Times New Roman" w:cs="Times New Roman"/>
                <w:sz w:val="20"/>
              </w:rPr>
              <w:t xml:space="preserve"> </w:t>
            </w:r>
            <w:r w:rsidRPr="00D700BA">
              <w:rPr>
                <w:rFonts w:ascii="Times New Roman" w:hAnsi="Times New Roman" w:cs="Times New Roman"/>
                <w:sz w:val="20"/>
              </w:rPr>
              <w:t xml:space="preserve">zadaszonych przydomowych tarasów naziemnych o powierzchni </w:t>
            </w:r>
            <w:r w:rsidRPr="00D700BA">
              <w:rPr>
                <w:rFonts w:ascii="Times New Roman" w:hAnsi="Times New Roman" w:cs="Times New Roman"/>
                <w:strike/>
                <w:color w:val="FF0000"/>
                <w:sz w:val="20"/>
              </w:rPr>
              <w:t>zabudowy</w:t>
            </w:r>
            <w:r w:rsidRPr="00D700BA">
              <w:rPr>
                <w:rFonts w:ascii="Times New Roman" w:hAnsi="Times New Roman" w:cs="Times New Roman"/>
                <w:sz w:val="20"/>
              </w:rPr>
              <w:t xml:space="preserve"> tarasu nie większej niż 35 m2 oraz o powierzchni dachu nie większej niż 35 m2;”</w:t>
            </w:r>
            <w:r>
              <w:rPr>
                <w:rFonts w:ascii="Times New Roman" w:hAnsi="Times New Roman" w:cs="Times New Roman"/>
                <w:sz w:val="20"/>
              </w:rPr>
              <w:t xml:space="preserve">.    </w:t>
            </w:r>
          </w:p>
        </w:tc>
      </w:tr>
      <w:tr w:rsidR="0097009D" w:rsidRPr="00060C94" w14:paraId="003E15DB" w14:textId="77777777" w:rsidTr="00A1326C">
        <w:trPr>
          <w:jc w:val="center"/>
        </w:trPr>
        <w:tc>
          <w:tcPr>
            <w:tcW w:w="594" w:type="dxa"/>
          </w:tcPr>
          <w:p w14:paraId="74AE93F5" w14:textId="77777777" w:rsidR="0097009D" w:rsidRPr="00060C94" w:rsidRDefault="0097009D"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686F0122" w14:textId="2CC49204" w:rsidR="0097009D" w:rsidRPr="00D700BA" w:rsidRDefault="0097009D" w:rsidP="0097009D">
            <w:pPr>
              <w:rPr>
                <w:rFonts w:ascii="Times New Roman" w:hAnsi="Times New Roman" w:cs="Times New Roman"/>
                <w:sz w:val="20"/>
              </w:rPr>
            </w:pPr>
            <w:r>
              <w:rPr>
                <w:rFonts w:ascii="Times New Roman" w:hAnsi="Times New Roman" w:cs="Times New Roman"/>
                <w:sz w:val="20"/>
              </w:rPr>
              <w:t>A</w:t>
            </w:r>
            <w:r w:rsidRPr="0097009D">
              <w:rPr>
                <w:rFonts w:ascii="Times New Roman" w:hAnsi="Times New Roman" w:cs="Times New Roman"/>
                <w:sz w:val="20"/>
              </w:rPr>
              <w:t>rt. 29</w:t>
            </w:r>
            <w:r>
              <w:rPr>
                <w:rFonts w:ascii="Times New Roman" w:hAnsi="Times New Roman" w:cs="Times New Roman"/>
                <w:sz w:val="20"/>
              </w:rPr>
              <w:t xml:space="preserve"> </w:t>
            </w:r>
            <w:r w:rsidRPr="0097009D">
              <w:rPr>
                <w:rFonts w:ascii="Times New Roman" w:hAnsi="Times New Roman" w:cs="Times New Roman"/>
                <w:sz w:val="20"/>
              </w:rPr>
              <w:t>ust. 2 pkt.</w:t>
            </w:r>
            <w:r>
              <w:rPr>
                <w:rFonts w:ascii="Times New Roman" w:hAnsi="Times New Roman" w:cs="Times New Roman"/>
                <w:sz w:val="20"/>
              </w:rPr>
              <w:t xml:space="preserve"> </w:t>
            </w:r>
            <w:r w:rsidRPr="0097009D">
              <w:rPr>
                <w:rFonts w:ascii="Times New Roman" w:hAnsi="Times New Roman" w:cs="Times New Roman"/>
                <w:sz w:val="20"/>
              </w:rPr>
              <w:t>34</w:t>
            </w:r>
          </w:p>
        </w:tc>
        <w:tc>
          <w:tcPr>
            <w:tcW w:w="2835" w:type="dxa"/>
            <w:vAlign w:val="center"/>
          </w:tcPr>
          <w:p w14:paraId="0F43F399" w14:textId="77777777" w:rsidR="0097009D" w:rsidRPr="0097009D" w:rsidRDefault="0097009D" w:rsidP="0097009D">
            <w:pPr>
              <w:jc w:val="both"/>
              <w:rPr>
                <w:rFonts w:ascii="Times New Roman" w:hAnsi="Times New Roman" w:cs="Times New Roman"/>
                <w:sz w:val="20"/>
              </w:rPr>
            </w:pPr>
            <w:r w:rsidRPr="0097009D">
              <w:rPr>
                <w:rFonts w:ascii="Times New Roman" w:hAnsi="Times New Roman" w:cs="Times New Roman"/>
                <w:sz w:val="20"/>
              </w:rPr>
              <w:t>Izba Architektów RP</w:t>
            </w:r>
          </w:p>
          <w:p w14:paraId="058B5B2F" w14:textId="1D12DB89" w:rsidR="0097009D" w:rsidRPr="00D700BA" w:rsidRDefault="0097009D" w:rsidP="0097009D">
            <w:pPr>
              <w:jc w:val="both"/>
              <w:rPr>
                <w:rFonts w:ascii="Times New Roman" w:hAnsi="Times New Roman" w:cs="Times New Roman"/>
                <w:sz w:val="20"/>
              </w:rPr>
            </w:pPr>
          </w:p>
        </w:tc>
        <w:tc>
          <w:tcPr>
            <w:tcW w:w="8477" w:type="dxa"/>
            <w:vAlign w:val="center"/>
          </w:tcPr>
          <w:p w14:paraId="313079ED" w14:textId="77777777" w:rsidR="0097009D" w:rsidRDefault="0097009D" w:rsidP="0097009D">
            <w:pPr>
              <w:jc w:val="both"/>
              <w:rPr>
                <w:rFonts w:ascii="Times New Roman" w:hAnsi="Times New Roman" w:cs="Times New Roman"/>
                <w:sz w:val="20"/>
              </w:rPr>
            </w:pPr>
            <w:r w:rsidRPr="0097009D">
              <w:rPr>
                <w:rFonts w:ascii="Times New Roman" w:hAnsi="Times New Roman" w:cs="Times New Roman"/>
                <w:sz w:val="20"/>
              </w:rPr>
              <w:t xml:space="preserve">W </w:t>
            </w:r>
            <w:r>
              <w:rPr>
                <w:rFonts w:ascii="Times New Roman" w:hAnsi="Times New Roman" w:cs="Times New Roman"/>
                <w:sz w:val="20"/>
              </w:rPr>
              <w:t>propozycji brzmienia przepisu</w:t>
            </w:r>
            <w:r w:rsidRPr="0097009D">
              <w:rPr>
                <w:rFonts w:ascii="Times New Roman" w:hAnsi="Times New Roman" w:cs="Times New Roman"/>
                <w:sz w:val="20"/>
              </w:rPr>
              <w:t xml:space="preserve"> pojawia się wysokość 3</w:t>
            </w:r>
            <w:r>
              <w:rPr>
                <w:rFonts w:ascii="Times New Roman" w:hAnsi="Times New Roman" w:cs="Times New Roman"/>
                <w:sz w:val="20"/>
              </w:rPr>
              <w:t xml:space="preserve"> </w:t>
            </w:r>
            <w:r w:rsidRPr="0097009D">
              <w:rPr>
                <w:rFonts w:ascii="Times New Roman" w:hAnsi="Times New Roman" w:cs="Times New Roman"/>
                <w:sz w:val="20"/>
              </w:rPr>
              <w:t xml:space="preserve">m. Jeśli mówimy o zadaszeniu, zadaszeniu trybun to raczej jest to </w:t>
            </w:r>
            <w:r>
              <w:rPr>
                <w:rFonts w:ascii="Times New Roman" w:hAnsi="Times New Roman" w:cs="Times New Roman"/>
                <w:sz w:val="20"/>
              </w:rPr>
              <w:t>wysokość zbyt niska</w:t>
            </w:r>
            <w:r w:rsidRPr="0097009D">
              <w:rPr>
                <w:rFonts w:ascii="Times New Roman" w:hAnsi="Times New Roman" w:cs="Times New Roman"/>
                <w:sz w:val="20"/>
              </w:rPr>
              <w:t>. Dla dachu dwuspadzistego również jest to za mało. Dla szatni powinna być określona powierzchni zabudowy, ale dla zadaszeń i trybun nie.</w:t>
            </w:r>
          </w:p>
          <w:p w14:paraId="73A05818" w14:textId="57CC802E" w:rsidR="0097009D" w:rsidRDefault="0097009D" w:rsidP="0097009D">
            <w:pPr>
              <w:jc w:val="both"/>
              <w:rPr>
                <w:rFonts w:ascii="Times New Roman" w:hAnsi="Times New Roman" w:cs="Times New Roman"/>
                <w:sz w:val="20"/>
              </w:rPr>
            </w:pPr>
            <w:r>
              <w:rPr>
                <w:rFonts w:ascii="Times New Roman" w:hAnsi="Times New Roman" w:cs="Times New Roman"/>
                <w:sz w:val="20"/>
              </w:rPr>
              <w:t xml:space="preserve">  </w:t>
            </w:r>
            <w:r w:rsidRPr="0097009D">
              <w:rPr>
                <w:rFonts w:ascii="Times New Roman" w:hAnsi="Times New Roman" w:cs="Times New Roman"/>
                <w:sz w:val="20"/>
              </w:rPr>
              <w:t xml:space="preserve"> </w:t>
            </w:r>
          </w:p>
          <w:p w14:paraId="6A1B8E63" w14:textId="0F85C32A" w:rsidR="0097009D" w:rsidRPr="0097009D" w:rsidRDefault="0097009D" w:rsidP="0097009D">
            <w:pPr>
              <w:jc w:val="both"/>
              <w:rPr>
                <w:rFonts w:ascii="Times New Roman" w:hAnsi="Times New Roman" w:cs="Times New Roman"/>
                <w:sz w:val="20"/>
              </w:rPr>
            </w:pPr>
            <w:r w:rsidRPr="0097009D">
              <w:rPr>
                <w:rFonts w:ascii="Times New Roman" w:hAnsi="Times New Roman" w:cs="Times New Roman"/>
                <w:sz w:val="20"/>
              </w:rPr>
              <w:t>Propozycja zapisu:</w:t>
            </w:r>
          </w:p>
          <w:p w14:paraId="4E35C7C8" w14:textId="2E2D21D3" w:rsidR="0097009D" w:rsidRPr="00D700BA" w:rsidRDefault="0097009D" w:rsidP="0097009D">
            <w:pPr>
              <w:jc w:val="both"/>
              <w:rPr>
                <w:rFonts w:ascii="Times New Roman" w:hAnsi="Times New Roman" w:cs="Times New Roman"/>
                <w:sz w:val="20"/>
              </w:rPr>
            </w:pPr>
            <w:r>
              <w:rPr>
                <w:rFonts w:ascii="Times New Roman" w:hAnsi="Times New Roman" w:cs="Times New Roman"/>
                <w:sz w:val="20"/>
              </w:rPr>
              <w:t>„</w:t>
            </w:r>
            <w:r w:rsidRPr="0097009D">
              <w:rPr>
                <w:rFonts w:ascii="Times New Roman" w:hAnsi="Times New Roman" w:cs="Times New Roman"/>
                <w:color w:val="000000" w:themeColor="text1"/>
                <w:sz w:val="20"/>
              </w:rPr>
              <w:t xml:space="preserve">34) szatni o powierzchni zabudowy nie większej niż 25 m2 i wysokości 3,5m, zadaszeń oraz trybun o powierzchni nie większej niż 25 m </w:t>
            </w:r>
            <w:r w:rsidRPr="0097009D">
              <w:rPr>
                <w:rFonts w:ascii="Times New Roman" w:hAnsi="Times New Roman" w:cs="Times New Roman"/>
                <w:color w:val="000000" w:themeColor="text1"/>
                <w:sz w:val="20"/>
                <w:vertAlign w:val="superscript"/>
              </w:rPr>
              <w:t>2</w:t>
            </w:r>
            <w:r w:rsidRPr="0097009D">
              <w:rPr>
                <w:rFonts w:ascii="Times New Roman" w:hAnsi="Times New Roman" w:cs="Times New Roman"/>
                <w:color w:val="000000" w:themeColor="text1"/>
                <w:sz w:val="20"/>
              </w:rPr>
              <w:t xml:space="preserve"> o wysokości nie większej niż 3,5m przy obiektach, o których mowa </w:t>
            </w:r>
            <w:r w:rsidRPr="0097009D">
              <w:rPr>
                <w:rFonts w:ascii="Times New Roman" w:hAnsi="Times New Roman" w:cs="Times New Roman"/>
                <w:color w:val="000000" w:themeColor="text1"/>
                <w:sz w:val="20"/>
              </w:rPr>
              <w:lastRenderedPageBreak/>
              <w:t xml:space="preserve">w ust. 1 pkt 20, przy czym łączna liczba wszystkich tych obiektów budowlanych na działce nie może przekraczać 5 na każde 10 000 m2 powierzchni działki;”. </w:t>
            </w:r>
          </w:p>
        </w:tc>
      </w:tr>
      <w:tr w:rsidR="000B346A" w:rsidRPr="00060C94" w14:paraId="1CF16246" w14:textId="77777777" w:rsidTr="00A1326C">
        <w:trPr>
          <w:jc w:val="center"/>
        </w:trPr>
        <w:tc>
          <w:tcPr>
            <w:tcW w:w="594" w:type="dxa"/>
          </w:tcPr>
          <w:p w14:paraId="3FE8031C" w14:textId="77777777" w:rsidR="000B346A" w:rsidRPr="00060C94" w:rsidRDefault="000B346A"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42CC28C8" w14:textId="2C66FFDE" w:rsidR="000B346A" w:rsidRPr="00060C94" w:rsidRDefault="004C483B" w:rsidP="008D39EF">
            <w:pPr>
              <w:rPr>
                <w:rFonts w:ascii="Times New Roman" w:hAnsi="Times New Roman" w:cs="Times New Roman"/>
                <w:sz w:val="20"/>
              </w:rPr>
            </w:pPr>
            <w:r>
              <w:rPr>
                <w:rFonts w:ascii="Times New Roman" w:hAnsi="Times New Roman" w:cs="Times New Roman"/>
                <w:sz w:val="20"/>
              </w:rPr>
              <w:t xml:space="preserve">Art. 35 ust. 6 </w:t>
            </w:r>
            <w:r w:rsidR="00D05D22">
              <w:rPr>
                <w:rFonts w:ascii="Times New Roman" w:hAnsi="Times New Roman" w:cs="Times New Roman"/>
                <w:sz w:val="20"/>
              </w:rPr>
              <w:t>ustawy nowelizowanej</w:t>
            </w:r>
          </w:p>
        </w:tc>
        <w:tc>
          <w:tcPr>
            <w:tcW w:w="2835" w:type="dxa"/>
            <w:vAlign w:val="center"/>
          </w:tcPr>
          <w:p w14:paraId="23EA49CA" w14:textId="77777777" w:rsidR="000B346A" w:rsidRDefault="004C483B" w:rsidP="004A28E0">
            <w:pPr>
              <w:jc w:val="both"/>
              <w:rPr>
                <w:rFonts w:ascii="Times New Roman" w:hAnsi="Times New Roman" w:cs="Times New Roman"/>
                <w:sz w:val="20"/>
              </w:rPr>
            </w:pPr>
            <w:r>
              <w:rPr>
                <w:rFonts w:ascii="Times New Roman" w:hAnsi="Times New Roman" w:cs="Times New Roman"/>
                <w:sz w:val="20"/>
              </w:rPr>
              <w:t>Izba Architektów RP</w:t>
            </w:r>
          </w:p>
          <w:p w14:paraId="2D4551CE" w14:textId="777CD482" w:rsidR="00324062" w:rsidRPr="00060C94" w:rsidRDefault="00324062" w:rsidP="004A28E0">
            <w:pPr>
              <w:jc w:val="both"/>
              <w:rPr>
                <w:rFonts w:ascii="Times New Roman" w:hAnsi="Times New Roman" w:cs="Times New Roman"/>
                <w:sz w:val="20"/>
              </w:rPr>
            </w:pPr>
          </w:p>
        </w:tc>
        <w:tc>
          <w:tcPr>
            <w:tcW w:w="8477" w:type="dxa"/>
            <w:vAlign w:val="center"/>
          </w:tcPr>
          <w:p w14:paraId="2236E037" w14:textId="2CD860BC" w:rsidR="000B406E" w:rsidRPr="000B406E" w:rsidRDefault="004C483B" w:rsidP="000B406E">
            <w:pPr>
              <w:jc w:val="both"/>
              <w:rPr>
                <w:rFonts w:ascii="Times New Roman" w:hAnsi="Times New Roman" w:cs="Times New Roman"/>
                <w:sz w:val="20"/>
              </w:rPr>
            </w:pPr>
            <w:r>
              <w:rPr>
                <w:rFonts w:ascii="Times New Roman" w:hAnsi="Times New Roman" w:cs="Times New Roman"/>
                <w:sz w:val="20"/>
              </w:rPr>
              <w:t>O ile intencja projektodawcy</w:t>
            </w:r>
            <w:r w:rsidR="009D6244">
              <w:rPr>
                <w:rFonts w:ascii="Times New Roman" w:hAnsi="Times New Roman" w:cs="Times New Roman"/>
                <w:sz w:val="20"/>
              </w:rPr>
              <w:t xml:space="preserve"> wyrażona w uzasadnieniu, zgodnie z którą zmiana przeciwdziałać ma zakładaniu a priori przez organy 65-dniowego terminu na wydanie decyzji, </w:t>
            </w:r>
            <w:r w:rsidR="00AE22BA">
              <w:rPr>
                <w:rFonts w:ascii="Times New Roman" w:hAnsi="Times New Roman" w:cs="Times New Roman"/>
                <w:sz w:val="20"/>
              </w:rPr>
              <w:t>jest zasadna i wymaga poparcia</w:t>
            </w:r>
            <w:r w:rsidR="00A95961">
              <w:rPr>
                <w:rFonts w:ascii="Times New Roman" w:hAnsi="Times New Roman" w:cs="Times New Roman"/>
                <w:sz w:val="20"/>
              </w:rPr>
              <w:t>, o tyle t</w:t>
            </w:r>
            <w:r w:rsidR="000B406E" w:rsidRPr="000B406E">
              <w:rPr>
                <w:rFonts w:ascii="Times New Roman" w:hAnsi="Times New Roman" w:cs="Times New Roman"/>
                <w:sz w:val="20"/>
              </w:rPr>
              <w:t xml:space="preserve">erminy określone w pkt 1–3 nie stanowią terminów załatwienia sprawy w rozumieniu przepisów ustawy z dnia 14 czerwca 1960 r. – Kodeks postępowania administracyjnego.  </w:t>
            </w:r>
          </w:p>
          <w:p w14:paraId="57601ACF" w14:textId="395E2A81" w:rsidR="000B406E" w:rsidRPr="00060C94" w:rsidRDefault="000B406E" w:rsidP="000B406E">
            <w:pPr>
              <w:jc w:val="both"/>
              <w:rPr>
                <w:rFonts w:ascii="Times New Roman" w:hAnsi="Times New Roman" w:cs="Times New Roman"/>
                <w:sz w:val="20"/>
              </w:rPr>
            </w:pPr>
            <w:r w:rsidRPr="000B406E">
              <w:rPr>
                <w:rFonts w:ascii="Times New Roman" w:hAnsi="Times New Roman" w:cs="Times New Roman"/>
                <w:sz w:val="20"/>
              </w:rPr>
              <w:t xml:space="preserve">W celu zdyscyplinowania organów lepszy skutek osiągnie wprowadzenie kar dla organu drugiej instancji za utrzymanie terminu odwołania.   </w:t>
            </w:r>
            <w:r>
              <w:rPr>
                <w:rFonts w:ascii="Times New Roman" w:hAnsi="Times New Roman" w:cs="Times New Roman"/>
                <w:sz w:val="20"/>
              </w:rPr>
              <w:t xml:space="preserve">  </w:t>
            </w:r>
            <w:r w:rsidR="00A95961">
              <w:rPr>
                <w:rFonts w:ascii="Times New Roman" w:hAnsi="Times New Roman" w:cs="Times New Roman"/>
                <w:sz w:val="20"/>
              </w:rPr>
              <w:t xml:space="preserve">  </w:t>
            </w:r>
          </w:p>
        </w:tc>
      </w:tr>
      <w:tr w:rsidR="004A28E0" w:rsidRPr="00060C94" w14:paraId="793CB981" w14:textId="77777777" w:rsidTr="00A1326C">
        <w:trPr>
          <w:jc w:val="center"/>
        </w:trPr>
        <w:tc>
          <w:tcPr>
            <w:tcW w:w="594" w:type="dxa"/>
          </w:tcPr>
          <w:p w14:paraId="7353E08F" w14:textId="77777777" w:rsidR="004A28E0" w:rsidRPr="00060C94"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73DAB293" w14:textId="67CA9088" w:rsidR="004A28E0" w:rsidRPr="00060C94" w:rsidRDefault="00181DCE" w:rsidP="005F0D28">
            <w:pPr>
              <w:rPr>
                <w:rFonts w:ascii="Times New Roman" w:hAnsi="Times New Roman" w:cs="Times New Roman"/>
                <w:sz w:val="20"/>
              </w:rPr>
            </w:pPr>
            <w:r>
              <w:rPr>
                <w:rFonts w:ascii="Times New Roman" w:hAnsi="Times New Roman" w:cs="Times New Roman"/>
                <w:sz w:val="20"/>
              </w:rPr>
              <w:t>Art. 39 ustawy nowelizowanej</w:t>
            </w:r>
          </w:p>
        </w:tc>
        <w:tc>
          <w:tcPr>
            <w:tcW w:w="2835" w:type="dxa"/>
            <w:vAlign w:val="center"/>
          </w:tcPr>
          <w:p w14:paraId="57A86A32" w14:textId="77777777" w:rsidR="00181DCE" w:rsidRPr="00181DCE" w:rsidRDefault="00181DCE" w:rsidP="00181DCE">
            <w:pPr>
              <w:jc w:val="both"/>
              <w:rPr>
                <w:rFonts w:ascii="Times New Roman" w:hAnsi="Times New Roman" w:cs="Times New Roman"/>
                <w:sz w:val="20"/>
              </w:rPr>
            </w:pPr>
            <w:r w:rsidRPr="00181DCE">
              <w:rPr>
                <w:rFonts w:ascii="Times New Roman" w:hAnsi="Times New Roman" w:cs="Times New Roman"/>
                <w:sz w:val="20"/>
              </w:rPr>
              <w:t>Izba Architektów RP</w:t>
            </w:r>
          </w:p>
          <w:p w14:paraId="2801AF82" w14:textId="0AF172D8" w:rsidR="004A28E0" w:rsidRPr="00060C94" w:rsidRDefault="004A28E0" w:rsidP="00181DCE">
            <w:pPr>
              <w:jc w:val="both"/>
              <w:rPr>
                <w:rFonts w:ascii="Times New Roman" w:hAnsi="Times New Roman" w:cs="Times New Roman"/>
                <w:sz w:val="20"/>
              </w:rPr>
            </w:pPr>
          </w:p>
        </w:tc>
        <w:tc>
          <w:tcPr>
            <w:tcW w:w="8477" w:type="dxa"/>
            <w:vAlign w:val="center"/>
          </w:tcPr>
          <w:p w14:paraId="5DC0C909" w14:textId="30E439FC" w:rsidR="008D7958" w:rsidRPr="00060C94" w:rsidRDefault="00181DCE" w:rsidP="008D7958">
            <w:pPr>
              <w:jc w:val="both"/>
              <w:rPr>
                <w:rFonts w:ascii="Times New Roman" w:hAnsi="Times New Roman" w:cs="Times New Roman"/>
                <w:sz w:val="20"/>
              </w:rPr>
            </w:pPr>
            <w:r>
              <w:rPr>
                <w:rFonts w:ascii="Times New Roman" w:hAnsi="Times New Roman" w:cs="Times New Roman"/>
                <w:sz w:val="20"/>
              </w:rPr>
              <w:t xml:space="preserve">KRIA RP w pełni popiera zmianę zaproponowaną w art. 39 tj. wykreślenie ust. 3 i 4. </w:t>
            </w:r>
            <w:r w:rsidRPr="00181DCE">
              <w:rPr>
                <w:rFonts w:ascii="Times New Roman" w:hAnsi="Times New Roman" w:cs="Times New Roman"/>
                <w:sz w:val="20"/>
              </w:rPr>
              <w:t>Bardzo korzystna zmiana, całkowicie zgodna z postulatami Izby Architektów RP. Zlikwiduje rażącą niekonsekwencję wymagającą uzgodnienia na obiekcie</w:t>
            </w:r>
            <w:r>
              <w:rPr>
                <w:rFonts w:ascii="Times New Roman" w:hAnsi="Times New Roman" w:cs="Times New Roman"/>
                <w:sz w:val="20"/>
              </w:rPr>
              <w:t>,</w:t>
            </w:r>
            <w:r w:rsidRPr="00181DCE">
              <w:rPr>
                <w:rFonts w:ascii="Times New Roman" w:hAnsi="Times New Roman" w:cs="Times New Roman"/>
                <w:sz w:val="20"/>
              </w:rPr>
              <w:t xml:space="preserve"> który nie jest objęty formą ochrony zabytków.</w:t>
            </w:r>
            <w:r w:rsidR="008D7958">
              <w:t xml:space="preserve"> O</w:t>
            </w:r>
            <w:r w:rsidR="008D7958" w:rsidRPr="008D7958">
              <w:rPr>
                <w:rFonts w:ascii="Times New Roman" w:hAnsi="Times New Roman" w:cs="Times New Roman"/>
                <w:sz w:val="20"/>
              </w:rPr>
              <w:t>chrona zapisana w planie miejscowym lub decyzji o warunkach</w:t>
            </w:r>
            <w:r w:rsidR="008D7958">
              <w:rPr>
                <w:rFonts w:ascii="Times New Roman" w:hAnsi="Times New Roman" w:cs="Times New Roman"/>
                <w:sz w:val="20"/>
              </w:rPr>
              <w:t xml:space="preserve"> </w:t>
            </w:r>
            <w:r w:rsidR="008D7958" w:rsidRPr="008D7958">
              <w:rPr>
                <w:rFonts w:ascii="Times New Roman" w:hAnsi="Times New Roman" w:cs="Times New Roman"/>
                <w:sz w:val="20"/>
              </w:rPr>
              <w:t>zabudowy pozwoli ocenić w trakcie analizy projektu budowlanego, bez</w:t>
            </w:r>
            <w:r w:rsidR="008D7958">
              <w:rPr>
                <w:rFonts w:ascii="Times New Roman" w:hAnsi="Times New Roman" w:cs="Times New Roman"/>
                <w:sz w:val="20"/>
              </w:rPr>
              <w:t xml:space="preserve"> </w:t>
            </w:r>
            <w:r w:rsidR="008D7958" w:rsidRPr="008D7958">
              <w:rPr>
                <w:rFonts w:ascii="Times New Roman" w:hAnsi="Times New Roman" w:cs="Times New Roman"/>
                <w:sz w:val="20"/>
              </w:rPr>
              <w:t>uzgadniania z organem konserwatora czy projekt nie wykracza poza te</w:t>
            </w:r>
            <w:r w:rsidR="008D7958">
              <w:rPr>
                <w:rFonts w:ascii="Times New Roman" w:hAnsi="Times New Roman" w:cs="Times New Roman"/>
                <w:sz w:val="20"/>
              </w:rPr>
              <w:t xml:space="preserve"> </w:t>
            </w:r>
            <w:r w:rsidR="008D7958" w:rsidRPr="008D7958">
              <w:rPr>
                <w:rFonts w:ascii="Times New Roman" w:hAnsi="Times New Roman" w:cs="Times New Roman"/>
                <w:sz w:val="20"/>
              </w:rPr>
              <w:t>zasady. Będzie to zgodne z dotychczasową zasadą weryfikacji przez</w:t>
            </w:r>
            <w:r w:rsidR="008D7958">
              <w:rPr>
                <w:rFonts w:ascii="Times New Roman" w:hAnsi="Times New Roman" w:cs="Times New Roman"/>
                <w:sz w:val="20"/>
              </w:rPr>
              <w:t xml:space="preserve"> </w:t>
            </w:r>
            <w:r w:rsidR="008D7958" w:rsidRPr="008D7958">
              <w:rPr>
                <w:rFonts w:ascii="Times New Roman" w:hAnsi="Times New Roman" w:cs="Times New Roman"/>
                <w:sz w:val="20"/>
              </w:rPr>
              <w:t>organ administracji aa-b projektu zagospodarowania terenu i</w:t>
            </w:r>
            <w:r w:rsidR="008D7958">
              <w:rPr>
                <w:rFonts w:ascii="Times New Roman" w:hAnsi="Times New Roman" w:cs="Times New Roman"/>
                <w:sz w:val="20"/>
              </w:rPr>
              <w:t xml:space="preserve"> </w:t>
            </w:r>
            <w:r w:rsidR="008D7958" w:rsidRPr="008D7958">
              <w:rPr>
                <w:rFonts w:ascii="Times New Roman" w:hAnsi="Times New Roman" w:cs="Times New Roman"/>
                <w:sz w:val="20"/>
              </w:rPr>
              <w:t xml:space="preserve">oświadczeniem projektanta zapisanym w art. 34 ust. 3d. </w:t>
            </w:r>
            <w:r w:rsidR="00402DF2">
              <w:rPr>
                <w:rFonts w:ascii="Times New Roman" w:hAnsi="Times New Roman" w:cs="Times New Roman"/>
                <w:sz w:val="20"/>
              </w:rPr>
              <w:t xml:space="preserve">  </w:t>
            </w:r>
            <w:bookmarkStart w:id="0" w:name="_GoBack"/>
            <w:bookmarkEnd w:id="0"/>
          </w:p>
          <w:p w14:paraId="63B6DCAD" w14:textId="72899E39" w:rsidR="004A28E0" w:rsidRPr="00060C94" w:rsidRDefault="004A28E0" w:rsidP="008D7958">
            <w:pPr>
              <w:jc w:val="both"/>
              <w:rPr>
                <w:rFonts w:ascii="Times New Roman" w:hAnsi="Times New Roman" w:cs="Times New Roman"/>
                <w:sz w:val="20"/>
              </w:rPr>
            </w:pPr>
          </w:p>
        </w:tc>
      </w:tr>
      <w:tr w:rsidR="004A28E0" w:rsidRPr="00060C94" w14:paraId="110CBAA2" w14:textId="77777777" w:rsidTr="00A1326C">
        <w:trPr>
          <w:jc w:val="center"/>
        </w:trPr>
        <w:tc>
          <w:tcPr>
            <w:tcW w:w="594" w:type="dxa"/>
          </w:tcPr>
          <w:p w14:paraId="29A56FD8" w14:textId="77777777" w:rsidR="004A28E0" w:rsidRPr="00060C94"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4AC06D30" w14:textId="77777777" w:rsidR="004A28E0" w:rsidRPr="00060C94" w:rsidRDefault="004A28E0" w:rsidP="004A28E0">
            <w:pPr>
              <w:jc w:val="both"/>
              <w:rPr>
                <w:rFonts w:ascii="Times New Roman" w:hAnsi="Times New Roman" w:cs="Times New Roman"/>
                <w:sz w:val="20"/>
              </w:rPr>
            </w:pPr>
          </w:p>
        </w:tc>
        <w:tc>
          <w:tcPr>
            <w:tcW w:w="2835" w:type="dxa"/>
            <w:vAlign w:val="center"/>
          </w:tcPr>
          <w:p w14:paraId="53299B5C" w14:textId="77777777" w:rsidR="004A28E0" w:rsidRPr="00060C94" w:rsidRDefault="004A28E0" w:rsidP="004A28E0">
            <w:pPr>
              <w:jc w:val="both"/>
              <w:rPr>
                <w:rFonts w:ascii="Times New Roman" w:hAnsi="Times New Roman" w:cs="Times New Roman"/>
                <w:sz w:val="20"/>
              </w:rPr>
            </w:pPr>
          </w:p>
        </w:tc>
        <w:tc>
          <w:tcPr>
            <w:tcW w:w="8477" w:type="dxa"/>
            <w:vAlign w:val="center"/>
          </w:tcPr>
          <w:p w14:paraId="7E39F8DA" w14:textId="77777777" w:rsidR="004A28E0" w:rsidRPr="00060C94" w:rsidRDefault="004A28E0" w:rsidP="004A28E0">
            <w:pPr>
              <w:jc w:val="both"/>
              <w:rPr>
                <w:rFonts w:ascii="Times New Roman" w:hAnsi="Times New Roman" w:cs="Times New Roman"/>
                <w:sz w:val="20"/>
              </w:rPr>
            </w:pPr>
          </w:p>
        </w:tc>
      </w:tr>
      <w:tr w:rsidR="004A28E0" w:rsidRPr="00060C94" w14:paraId="3184DD1F" w14:textId="77777777" w:rsidTr="00A1326C">
        <w:trPr>
          <w:jc w:val="center"/>
        </w:trPr>
        <w:tc>
          <w:tcPr>
            <w:tcW w:w="594" w:type="dxa"/>
          </w:tcPr>
          <w:p w14:paraId="3060A102" w14:textId="77777777" w:rsidR="004A28E0" w:rsidRPr="00060C94"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060DA07F" w14:textId="3A3862BE" w:rsidR="004A28E0" w:rsidRPr="00D05D22" w:rsidRDefault="004A28E0" w:rsidP="008D39EF">
            <w:pPr>
              <w:rPr>
                <w:rFonts w:ascii="Times New Roman" w:hAnsi="Times New Roman" w:cs="Times New Roman"/>
                <w:sz w:val="20"/>
              </w:rPr>
            </w:pPr>
          </w:p>
        </w:tc>
        <w:tc>
          <w:tcPr>
            <w:tcW w:w="2835" w:type="dxa"/>
            <w:vAlign w:val="center"/>
          </w:tcPr>
          <w:p w14:paraId="53D2E8A6" w14:textId="4521BC0F" w:rsidR="00324062" w:rsidRPr="00060C94" w:rsidRDefault="00324062" w:rsidP="004A28E0">
            <w:pPr>
              <w:jc w:val="both"/>
              <w:rPr>
                <w:rFonts w:ascii="Times New Roman" w:hAnsi="Times New Roman" w:cs="Times New Roman"/>
                <w:sz w:val="20"/>
              </w:rPr>
            </w:pPr>
          </w:p>
        </w:tc>
        <w:tc>
          <w:tcPr>
            <w:tcW w:w="8477" w:type="dxa"/>
            <w:vAlign w:val="center"/>
          </w:tcPr>
          <w:p w14:paraId="5D341134" w14:textId="15C86D9C" w:rsidR="004A28E0" w:rsidRPr="00060C94" w:rsidRDefault="004A28E0" w:rsidP="00324062">
            <w:pPr>
              <w:jc w:val="both"/>
              <w:rPr>
                <w:rFonts w:ascii="Times New Roman" w:hAnsi="Times New Roman" w:cs="Times New Roman"/>
                <w:sz w:val="20"/>
              </w:rPr>
            </w:pPr>
          </w:p>
        </w:tc>
      </w:tr>
      <w:tr w:rsidR="004A28E0" w:rsidRPr="00060C94" w14:paraId="44292CE8" w14:textId="77777777" w:rsidTr="00A1326C">
        <w:trPr>
          <w:jc w:val="center"/>
        </w:trPr>
        <w:tc>
          <w:tcPr>
            <w:tcW w:w="594" w:type="dxa"/>
          </w:tcPr>
          <w:p w14:paraId="5123B0F2" w14:textId="77777777" w:rsidR="004A28E0" w:rsidRPr="00060C94" w:rsidRDefault="004A28E0" w:rsidP="004A28E0">
            <w:pPr>
              <w:pStyle w:val="Akapitzlist"/>
              <w:numPr>
                <w:ilvl w:val="0"/>
                <w:numId w:val="9"/>
              </w:numPr>
              <w:spacing w:before="120"/>
              <w:ind w:left="36" w:right="-534" w:firstLine="0"/>
              <w:jc w:val="center"/>
              <w:rPr>
                <w:rFonts w:ascii="Times New Roman" w:hAnsi="Times New Roman" w:cs="Times New Roman"/>
                <w:b/>
                <w:sz w:val="20"/>
              </w:rPr>
            </w:pPr>
          </w:p>
        </w:tc>
        <w:tc>
          <w:tcPr>
            <w:tcW w:w="2102" w:type="dxa"/>
            <w:vAlign w:val="center"/>
          </w:tcPr>
          <w:p w14:paraId="61482714" w14:textId="2030DDF4" w:rsidR="004A28E0" w:rsidRPr="00060C94" w:rsidRDefault="004A28E0" w:rsidP="004A28E0">
            <w:pPr>
              <w:jc w:val="both"/>
              <w:rPr>
                <w:rFonts w:ascii="Times New Roman" w:hAnsi="Times New Roman" w:cs="Times New Roman"/>
                <w:sz w:val="20"/>
              </w:rPr>
            </w:pPr>
          </w:p>
        </w:tc>
        <w:tc>
          <w:tcPr>
            <w:tcW w:w="2835" w:type="dxa"/>
            <w:vAlign w:val="center"/>
          </w:tcPr>
          <w:p w14:paraId="28100B13" w14:textId="0DBFA5B2" w:rsidR="00324062" w:rsidRPr="00060C94" w:rsidRDefault="00324062" w:rsidP="004A28E0">
            <w:pPr>
              <w:jc w:val="both"/>
              <w:rPr>
                <w:rFonts w:ascii="Times New Roman" w:hAnsi="Times New Roman" w:cs="Times New Roman"/>
                <w:sz w:val="20"/>
              </w:rPr>
            </w:pPr>
          </w:p>
        </w:tc>
        <w:tc>
          <w:tcPr>
            <w:tcW w:w="8477" w:type="dxa"/>
            <w:vAlign w:val="center"/>
          </w:tcPr>
          <w:p w14:paraId="0A85A575" w14:textId="0C445F28" w:rsidR="004A28E0" w:rsidRPr="00060C94" w:rsidRDefault="00033E9B" w:rsidP="00033E9B">
            <w:pPr>
              <w:jc w:val="both"/>
              <w:rPr>
                <w:rFonts w:ascii="Times New Roman" w:hAnsi="Times New Roman" w:cs="Times New Roman"/>
                <w:sz w:val="20"/>
              </w:rPr>
            </w:pPr>
            <w:r>
              <w:rPr>
                <w:rFonts w:ascii="Times New Roman" w:hAnsi="Times New Roman" w:cs="Times New Roman"/>
                <w:sz w:val="20"/>
              </w:rPr>
              <w:t xml:space="preserve"> </w:t>
            </w:r>
          </w:p>
        </w:tc>
      </w:tr>
    </w:tbl>
    <w:p w14:paraId="7AAC8AFB" w14:textId="77777777" w:rsidR="00674BCF" w:rsidRPr="00060C94" w:rsidRDefault="00674BCF">
      <w:pPr>
        <w:rPr>
          <w:rFonts w:ascii="Times New Roman" w:hAnsi="Times New Roman" w:cs="Times New Roman"/>
        </w:rPr>
      </w:pPr>
    </w:p>
    <w:p w14:paraId="485CC30F" w14:textId="77777777" w:rsidR="009A3389" w:rsidRPr="00060C94" w:rsidRDefault="009A3389" w:rsidP="00443077">
      <w:pPr>
        <w:spacing w:line="240" w:lineRule="auto"/>
        <w:rPr>
          <w:rFonts w:ascii="Times New Roman" w:hAnsi="Times New Roman" w:cs="Times New Roman"/>
        </w:rPr>
      </w:pPr>
    </w:p>
    <w:sectPr w:rsidR="009A3389" w:rsidRPr="00060C94" w:rsidSect="001F3A0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10BDE" w14:textId="77777777" w:rsidR="0057283F" w:rsidRDefault="0057283F" w:rsidP="00735AA5">
      <w:pPr>
        <w:spacing w:after="0" w:line="240" w:lineRule="auto"/>
      </w:pPr>
      <w:r>
        <w:separator/>
      </w:r>
    </w:p>
  </w:endnote>
  <w:endnote w:type="continuationSeparator" w:id="0">
    <w:p w14:paraId="20BE6E24" w14:textId="77777777" w:rsidR="0057283F" w:rsidRDefault="0057283F" w:rsidP="0073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451909213"/>
      <w:docPartObj>
        <w:docPartGallery w:val="Page Numbers (Bottom of Page)"/>
        <w:docPartUnique/>
      </w:docPartObj>
    </w:sdtPr>
    <w:sdtEndPr/>
    <w:sdtContent>
      <w:p w14:paraId="78098CE5" w14:textId="77777777" w:rsidR="000B346A" w:rsidRPr="000B346A" w:rsidRDefault="000B346A">
        <w:pPr>
          <w:pStyle w:val="Stopka"/>
          <w:jc w:val="right"/>
          <w:rPr>
            <w:rFonts w:ascii="Arial" w:hAnsi="Arial" w:cs="Arial"/>
            <w:sz w:val="18"/>
          </w:rPr>
        </w:pPr>
        <w:r w:rsidRPr="000B346A">
          <w:rPr>
            <w:rFonts w:ascii="Arial" w:hAnsi="Arial" w:cs="Arial"/>
            <w:sz w:val="18"/>
          </w:rPr>
          <w:t xml:space="preserve">Strona | </w:t>
        </w:r>
        <w:r w:rsidRPr="000B346A">
          <w:rPr>
            <w:rFonts w:ascii="Arial" w:hAnsi="Arial" w:cs="Arial"/>
            <w:sz w:val="18"/>
          </w:rPr>
          <w:fldChar w:fldCharType="begin"/>
        </w:r>
        <w:r w:rsidRPr="000B346A">
          <w:rPr>
            <w:rFonts w:ascii="Arial" w:hAnsi="Arial" w:cs="Arial"/>
            <w:sz w:val="18"/>
          </w:rPr>
          <w:instrText>PAGE   \* MERGEFORMAT</w:instrText>
        </w:r>
        <w:r w:rsidRPr="000B346A">
          <w:rPr>
            <w:rFonts w:ascii="Arial" w:hAnsi="Arial" w:cs="Arial"/>
            <w:sz w:val="18"/>
          </w:rPr>
          <w:fldChar w:fldCharType="separate"/>
        </w:r>
        <w:r w:rsidR="00C63F1E">
          <w:rPr>
            <w:rFonts w:ascii="Arial" w:hAnsi="Arial" w:cs="Arial"/>
            <w:noProof/>
            <w:sz w:val="18"/>
          </w:rPr>
          <w:t>1</w:t>
        </w:r>
        <w:r w:rsidRPr="000B346A">
          <w:rPr>
            <w:rFonts w:ascii="Arial" w:hAnsi="Arial" w:cs="Arial"/>
            <w:sz w:val="18"/>
          </w:rPr>
          <w:fldChar w:fldCharType="end"/>
        </w:r>
        <w:r w:rsidRPr="000B346A">
          <w:rPr>
            <w:rFonts w:ascii="Arial" w:hAnsi="Arial" w:cs="Arial"/>
            <w:sz w:val="18"/>
          </w:rPr>
          <w:t xml:space="preserve"> </w:t>
        </w:r>
      </w:p>
    </w:sdtContent>
  </w:sdt>
  <w:p w14:paraId="216F2321" w14:textId="77777777" w:rsidR="00735AA5" w:rsidRDefault="00735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4E92" w14:textId="77777777" w:rsidR="0057283F" w:rsidRDefault="0057283F" w:rsidP="00735AA5">
      <w:pPr>
        <w:spacing w:after="0" w:line="240" w:lineRule="auto"/>
      </w:pPr>
      <w:r>
        <w:separator/>
      </w:r>
    </w:p>
  </w:footnote>
  <w:footnote w:type="continuationSeparator" w:id="0">
    <w:p w14:paraId="17680CBD" w14:textId="77777777" w:rsidR="0057283F" w:rsidRDefault="0057283F" w:rsidP="00735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422"/>
    <w:multiLevelType w:val="hybridMultilevel"/>
    <w:tmpl w:val="1EA4D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B3421"/>
    <w:multiLevelType w:val="hybridMultilevel"/>
    <w:tmpl w:val="3F3C3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F69C8"/>
    <w:multiLevelType w:val="hybridMultilevel"/>
    <w:tmpl w:val="401489DE"/>
    <w:lvl w:ilvl="0" w:tplc="2408B1AA">
      <w:start w:val="2"/>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 w15:restartNumberingAfterBreak="0">
    <w:nsid w:val="1784680D"/>
    <w:multiLevelType w:val="hybridMultilevel"/>
    <w:tmpl w:val="2BB4171C"/>
    <w:lvl w:ilvl="0" w:tplc="BAE6A3BE">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4" w15:restartNumberingAfterBreak="0">
    <w:nsid w:val="1F484FB4"/>
    <w:multiLevelType w:val="hybridMultilevel"/>
    <w:tmpl w:val="49FA505E"/>
    <w:lvl w:ilvl="0" w:tplc="8B141934">
      <w:start w:val="20"/>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5" w15:restartNumberingAfterBreak="0">
    <w:nsid w:val="53DD0B2E"/>
    <w:multiLevelType w:val="hybridMultilevel"/>
    <w:tmpl w:val="22208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7109D4"/>
    <w:multiLevelType w:val="hybridMultilevel"/>
    <w:tmpl w:val="F4C82F44"/>
    <w:lvl w:ilvl="0" w:tplc="BBC653A2">
      <w:start w:val="1"/>
      <w:numFmt w:val="decimal"/>
      <w:lvlText w:val="%1)"/>
      <w:lvlJc w:val="left"/>
      <w:pPr>
        <w:ind w:left="321" w:hanging="360"/>
      </w:pPr>
      <w:rPr>
        <w:rFonts w:hint="default"/>
        <w:color w:val="000000" w:themeColor="text1"/>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7" w15:restartNumberingAfterBreak="0">
    <w:nsid w:val="72253848"/>
    <w:multiLevelType w:val="hybridMultilevel"/>
    <w:tmpl w:val="8F10F6AE"/>
    <w:lvl w:ilvl="0" w:tplc="C7B04F10">
      <w:start w:val="2"/>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8" w15:restartNumberingAfterBreak="0">
    <w:nsid w:val="764744B3"/>
    <w:multiLevelType w:val="hybridMultilevel"/>
    <w:tmpl w:val="363600DC"/>
    <w:lvl w:ilvl="0" w:tplc="FF98001A">
      <w:start w:val="1"/>
      <w:numFmt w:val="decimal"/>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3"/>
  </w:num>
  <w:num w:numId="2">
    <w:abstractNumId w:val="4"/>
  </w:num>
  <w:num w:numId="3">
    <w:abstractNumId w:val="7"/>
  </w:num>
  <w:num w:numId="4">
    <w:abstractNumId w:val="2"/>
  </w:num>
  <w:num w:numId="5">
    <w:abstractNumId w:val="8"/>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57"/>
    <w:rsid w:val="000153D6"/>
    <w:rsid w:val="00033E9B"/>
    <w:rsid w:val="00060C94"/>
    <w:rsid w:val="00084817"/>
    <w:rsid w:val="00085E2E"/>
    <w:rsid w:val="00091F2A"/>
    <w:rsid w:val="000B1157"/>
    <w:rsid w:val="000B346A"/>
    <w:rsid w:val="000B406E"/>
    <w:rsid w:val="00141978"/>
    <w:rsid w:val="00177EC3"/>
    <w:rsid w:val="00181DCE"/>
    <w:rsid w:val="001A442B"/>
    <w:rsid w:val="001B28FF"/>
    <w:rsid w:val="001B33F4"/>
    <w:rsid w:val="001E01AE"/>
    <w:rsid w:val="001E53B8"/>
    <w:rsid w:val="001F0431"/>
    <w:rsid w:val="001F3A0F"/>
    <w:rsid w:val="00242233"/>
    <w:rsid w:val="002662EA"/>
    <w:rsid w:val="0027294F"/>
    <w:rsid w:val="00290B69"/>
    <w:rsid w:val="002B7EC7"/>
    <w:rsid w:val="002E0918"/>
    <w:rsid w:val="0030115D"/>
    <w:rsid w:val="00324062"/>
    <w:rsid w:val="003706A6"/>
    <w:rsid w:val="00374F45"/>
    <w:rsid w:val="003A430E"/>
    <w:rsid w:val="003D3CB0"/>
    <w:rsid w:val="003D494D"/>
    <w:rsid w:val="003D76BE"/>
    <w:rsid w:val="003D7D21"/>
    <w:rsid w:val="003E6D61"/>
    <w:rsid w:val="003F2ED2"/>
    <w:rsid w:val="00402DF2"/>
    <w:rsid w:val="00414EA2"/>
    <w:rsid w:val="00443077"/>
    <w:rsid w:val="00452E52"/>
    <w:rsid w:val="00473EA9"/>
    <w:rsid w:val="004977F7"/>
    <w:rsid w:val="004A28E0"/>
    <w:rsid w:val="004C483B"/>
    <w:rsid w:val="004E0816"/>
    <w:rsid w:val="00537F4C"/>
    <w:rsid w:val="00545CD3"/>
    <w:rsid w:val="0057283F"/>
    <w:rsid w:val="005C0AC2"/>
    <w:rsid w:val="005D442D"/>
    <w:rsid w:val="005D4D7E"/>
    <w:rsid w:val="005F0D28"/>
    <w:rsid w:val="00641B86"/>
    <w:rsid w:val="006456C1"/>
    <w:rsid w:val="006669AD"/>
    <w:rsid w:val="00674BCF"/>
    <w:rsid w:val="006C2BC9"/>
    <w:rsid w:val="006C42B2"/>
    <w:rsid w:val="006C6099"/>
    <w:rsid w:val="006E1960"/>
    <w:rsid w:val="006F0D7B"/>
    <w:rsid w:val="006F1155"/>
    <w:rsid w:val="006F6137"/>
    <w:rsid w:val="007018E8"/>
    <w:rsid w:val="00730C35"/>
    <w:rsid w:val="00735AA5"/>
    <w:rsid w:val="00736637"/>
    <w:rsid w:val="00742CF8"/>
    <w:rsid w:val="00751B0F"/>
    <w:rsid w:val="0076077D"/>
    <w:rsid w:val="007D0166"/>
    <w:rsid w:val="007E0F2B"/>
    <w:rsid w:val="007F39C0"/>
    <w:rsid w:val="008203CF"/>
    <w:rsid w:val="00830132"/>
    <w:rsid w:val="0087296A"/>
    <w:rsid w:val="00890631"/>
    <w:rsid w:val="008C56C6"/>
    <w:rsid w:val="008D39EF"/>
    <w:rsid w:val="008D7958"/>
    <w:rsid w:val="00923F6D"/>
    <w:rsid w:val="009404B1"/>
    <w:rsid w:val="009532CB"/>
    <w:rsid w:val="009672B1"/>
    <w:rsid w:val="0097009D"/>
    <w:rsid w:val="00971F09"/>
    <w:rsid w:val="00983A14"/>
    <w:rsid w:val="009923E7"/>
    <w:rsid w:val="009A3389"/>
    <w:rsid w:val="009D4953"/>
    <w:rsid w:val="009D6244"/>
    <w:rsid w:val="00A11019"/>
    <w:rsid w:val="00A11E28"/>
    <w:rsid w:val="00A1326C"/>
    <w:rsid w:val="00A407A4"/>
    <w:rsid w:val="00A64143"/>
    <w:rsid w:val="00A65542"/>
    <w:rsid w:val="00A92454"/>
    <w:rsid w:val="00A95961"/>
    <w:rsid w:val="00A96CFC"/>
    <w:rsid w:val="00AA4D6F"/>
    <w:rsid w:val="00AE22BA"/>
    <w:rsid w:val="00AF2DCB"/>
    <w:rsid w:val="00AF5CDF"/>
    <w:rsid w:val="00B0068C"/>
    <w:rsid w:val="00B1120B"/>
    <w:rsid w:val="00B15F59"/>
    <w:rsid w:val="00BC635A"/>
    <w:rsid w:val="00BD1781"/>
    <w:rsid w:val="00BD1AB7"/>
    <w:rsid w:val="00BE79C3"/>
    <w:rsid w:val="00C22A1F"/>
    <w:rsid w:val="00C474ED"/>
    <w:rsid w:val="00C63F1E"/>
    <w:rsid w:val="00CB5636"/>
    <w:rsid w:val="00CF1F97"/>
    <w:rsid w:val="00D05D22"/>
    <w:rsid w:val="00D23483"/>
    <w:rsid w:val="00D34082"/>
    <w:rsid w:val="00D6485F"/>
    <w:rsid w:val="00D700BA"/>
    <w:rsid w:val="00E25BFC"/>
    <w:rsid w:val="00E2744F"/>
    <w:rsid w:val="00E67BF3"/>
    <w:rsid w:val="00E7699F"/>
    <w:rsid w:val="00E92DC4"/>
    <w:rsid w:val="00E92DE0"/>
    <w:rsid w:val="00EB4B97"/>
    <w:rsid w:val="00EB5B1E"/>
    <w:rsid w:val="00EC7543"/>
    <w:rsid w:val="00F11CBF"/>
    <w:rsid w:val="00F17017"/>
    <w:rsid w:val="00F4605B"/>
    <w:rsid w:val="00F553FC"/>
    <w:rsid w:val="00F63425"/>
    <w:rsid w:val="00F80086"/>
    <w:rsid w:val="00FA47E1"/>
    <w:rsid w:val="00FD481C"/>
    <w:rsid w:val="00FD7CD5"/>
    <w:rsid w:val="00FE4F6B"/>
    <w:rsid w:val="00FF4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6014"/>
  <w15:docId w15:val="{95DEA8D3-CA7D-4873-9C39-A1BB01B3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A28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77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06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06A6"/>
    <w:rPr>
      <w:rFonts w:ascii="Tahoma" w:hAnsi="Tahoma" w:cs="Tahoma"/>
      <w:sz w:val="16"/>
      <w:szCs w:val="16"/>
    </w:rPr>
  </w:style>
  <w:style w:type="paragraph" w:customStyle="1" w:styleId="TYTUAKTUprzedmiotregulacjiustawylubrozporzdzenia">
    <w:name w:val="TYTUŁ_AKTU – przedmiot regulacji ustawy lub rozporządzenia"/>
    <w:next w:val="Normalny"/>
    <w:uiPriority w:val="6"/>
    <w:qFormat/>
    <w:rsid w:val="003706A6"/>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ARTartustawynprozporzdzenia">
    <w:name w:val="ART(§) – art. ustawy (§ np. rozporządzenia)"/>
    <w:uiPriority w:val="11"/>
    <w:qFormat/>
    <w:rsid w:val="00983A1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983A14"/>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uiPriority w:val="99"/>
    <w:semiHidden/>
    <w:rsid w:val="00983A14"/>
    <w:rPr>
      <w:sz w:val="16"/>
      <w:szCs w:val="16"/>
    </w:rPr>
  </w:style>
  <w:style w:type="paragraph" w:styleId="Tekstkomentarza">
    <w:name w:val="annotation text"/>
    <w:basedOn w:val="Normalny"/>
    <w:link w:val="TekstkomentarzaZnak"/>
    <w:uiPriority w:val="99"/>
    <w:semiHidden/>
    <w:rsid w:val="00983A14"/>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semiHidden/>
    <w:rsid w:val="00983A14"/>
    <w:rPr>
      <w:rFonts w:ascii="Times" w:eastAsia="Times New Roman" w:hAnsi="Times" w:cs="Times New Roman"/>
      <w:sz w:val="24"/>
      <w:szCs w:val="24"/>
      <w:lang w:eastAsia="pl-PL"/>
    </w:rPr>
  </w:style>
  <w:style w:type="character" w:customStyle="1" w:styleId="Ppogrubienie">
    <w:name w:val="_P_ – pogrubienie"/>
    <w:uiPriority w:val="1"/>
    <w:qFormat/>
    <w:rsid w:val="00983A14"/>
    <w:rPr>
      <w:b/>
    </w:rPr>
  </w:style>
  <w:style w:type="paragraph" w:styleId="Akapitzlist">
    <w:name w:val="List Paragraph"/>
    <w:basedOn w:val="Normalny"/>
    <w:uiPriority w:val="72"/>
    <w:qFormat/>
    <w:rsid w:val="00983A14"/>
    <w:pPr>
      <w:ind w:left="720"/>
      <w:contextualSpacing/>
    </w:pPr>
  </w:style>
  <w:style w:type="paragraph" w:customStyle="1" w:styleId="USTustnpkodeksu">
    <w:name w:val="UST(§) – ust. (§ np. kodeksu)"/>
    <w:basedOn w:val="ARTartustawynprozporzdzenia"/>
    <w:uiPriority w:val="12"/>
    <w:qFormat/>
    <w:rsid w:val="009A3389"/>
    <w:pPr>
      <w:spacing w:before="0"/>
    </w:pPr>
    <w:rPr>
      <w:bCs/>
    </w:rPr>
  </w:style>
  <w:style w:type="paragraph" w:styleId="Nagwek">
    <w:name w:val="header"/>
    <w:basedOn w:val="Normalny"/>
    <w:link w:val="NagwekZnak"/>
    <w:uiPriority w:val="99"/>
    <w:unhideWhenUsed/>
    <w:rsid w:val="00735A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AA5"/>
  </w:style>
  <w:style w:type="paragraph" w:styleId="Stopka">
    <w:name w:val="footer"/>
    <w:basedOn w:val="Normalny"/>
    <w:link w:val="StopkaZnak"/>
    <w:uiPriority w:val="99"/>
    <w:unhideWhenUsed/>
    <w:rsid w:val="00735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AA5"/>
  </w:style>
  <w:style w:type="character" w:customStyle="1" w:styleId="Nagwek2Znak">
    <w:name w:val="Nagłówek 2 Znak"/>
    <w:basedOn w:val="Domylnaczcionkaakapitu"/>
    <w:link w:val="Nagwek2"/>
    <w:uiPriority w:val="9"/>
    <w:rsid w:val="004A28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4763">
      <w:bodyDiv w:val="1"/>
      <w:marLeft w:val="0"/>
      <w:marRight w:val="0"/>
      <w:marTop w:val="0"/>
      <w:marBottom w:val="0"/>
      <w:divBdr>
        <w:top w:val="none" w:sz="0" w:space="0" w:color="auto"/>
        <w:left w:val="none" w:sz="0" w:space="0" w:color="auto"/>
        <w:bottom w:val="none" w:sz="0" w:space="0" w:color="auto"/>
        <w:right w:val="none" w:sz="0" w:space="0" w:color="auto"/>
      </w:divBdr>
    </w:div>
    <w:div w:id="1251231102">
      <w:bodyDiv w:val="1"/>
      <w:marLeft w:val="0"/>
      <w:marRight w:val="0"/>
      <w:marTop w:val="0"/>
      <w:marBottom w:val="0"/>
      <w:divBdr>
        <w:top w:val="none" w:sz="0" w:space="0" w:color="auto"/>
        <w:left w:val="none" w:sz="0" w:space="0" w:color="auto"/>
        <w:bottom w:val="none" w:sz="0" w:space="0" w:color="auto"/>
        <w:right w:val="none" w:sz="0" w:space="0" w:color="auto"/>
      </w:divBdr>
    </w:div>
    <w:div w:id="1454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EE18-7F0D-4DE2-97FE-3179C96F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2057</Words>
  <Characters>12343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Kaniuka</dc:creator>
  <cp:lastModifiedBy>Magdalena Wółkowska</cp:lastModifiedBy>
  <cp:revision>52</cp:revision>
  <cp:lastPrinted>2025-04-30T08:53:00Z</cp:lastPrinted>
  <dcterms:created xsi:type="dcterms:W3CDTF">2025-04-23T11:56:00Z</dcterms:created>
  <dcterms:modified xsi:type="dcterms:W3CDTF">2025-04-30T09:20:00Z</dcterms:modified>
</cp:coreProperties>
</file>