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FB" w:rsidRDefault="00C838FB" w:rsidP="00C838FB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Teza</w:t>
      </w:r>
      <w:r w:rsidRPr="00EF4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szczegółowa_1 [przepisy odrębne]</w:t>
      </w:r>
      <w:r w:rsidRPr="00EF482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838FB" w:rsidRDefault="00C838FB" w:rsidP="00C838FB">
      <w:pPr>
        <w:spacing w:after="0" w:line="20" w:lineRule="atLeast"/>
      </w:pPr>
      <w:r>
        <w:t xml:space="preserve">Konieczności stosowania w procesie projektowym ścieżek postępowania wynikających z tzw. przepisów odrębnych jest z jedną z najdotkliwszych przyczyn jego skomplikowania. Postępowania te w zderzeniu ze specyfiką procesu projektowego tworzą sytuacje niemożliwe do logicznego, przyczynowo- skutkowego rozwiązania. </w:t>
      </w:r>
    </w:p>
    <w:p w:rsidR="00C838FB" w:rsidRDefault="00C838FB" w:rsidP="00C838FB">
      <w:pPr>
        <w:spacing w:after="0" w:line="20" w:lineRule="atLeast"/>
      </w:pPr>
    </w:p>
    <w:p w:rsidR="00C838FB" w:rsidRDefault="00C838FB" w:rsidP="00C838FB">
      <w:pPr>
        <w:spacing w:after="0" w:line="20" w:lineRule="atLeast"/>
        <w:rPr>
          <w:b/>
          <w:sz w:val="28"/>
          <w:szCs w:val="28"/>
        </w:rPr>
      </w:pPr>
      <w:r w:rsidRPr="006D73EE">
        <w:rPr>
          <w:b/>
          <w:sz w:val="28"/>
          <w:szCs w:val="28"/>
        </w:rPr>
        <w:t>Rozwinięcie:</w:t>
      </w:r>
    </w:p>
    <w:p w:rsidR="00C838FB" w:rsidRDefault="00C838FB" w:rsidP="00C838FB">
      <w:pPr>
        <w:spacing w:after="0" w:line="20" w:lineRule="atLeast"/>
        <w:jc w:val="both"/>
      </w:pPr>
      <w:r w:rsidRPr="002F3B19">
        <w:t>Jest wiele przyczyn</w:t>
      </w:r>
      <w:r w:rsidRPr="00C76CFA">
        <w:rPr>
          <w:b/>
        </w:rPr>
        <w:t xml:space="preserve"> </w:t>
      </w:r>
      <w:r>
        <w:t xml:space="preserve">skomplikowania procedur. W opinii IARP najbardziej dotkliwe spośród nich biorą swój początek w konieczności posługiwania się konkretnymi rozwiązaniami projektowymi jeszcze przed ich rozstrzygnięciem. Wynika to głównie z konieczności stosowania w procesie projektowym ścieżek postępowania wynikających z tzw. przepisów odrębnych, które w zderzeniu ze specyfiką tego procesu tworzą sytuacje niemożliwe do logicznego, przyczynowo- skutkowego rozwiązania. </w:t>
      </w:r>
      <w:r w:rsidRPr="003279BF">
        <w:t xml:space="preserve">Specyfika samego procesu projektowania, mówiąc w uproszczeniu, polega na tym, że jakiejkolwiek oceny tego procesu możemy dokonać po jego przeprowadzeniu a nie przed. </w:t>
      </w:r>
    </w:p>
    <w:p w:rsidR="00C838FB" w:rsidRDefault="00C838FB" w:rsidP="00C838FB">
      <w:pPr>
        <w:spacing w:after="0" w:line="20" w:lineRule="atLeast"/>
        <w:ind w:left="720"/>
        <w:jc w:val="both"/>
        <w:rPr>
          <w:b/>
        </w:rPr>
      </w:pPr>
    </w:p>
    <w:p w:rsidR="00C838FB" w:rsidRPr="00D552A6" w:rsidRDefault="00C838FB" w:rsidP="00C838FB">
      <w:pPr>
        <w:spacing w:after="0" w:line="20" w:lineRule="atLeast"/>
        <w:jc w:val="both"/>
        <w:rPr>
          <w:b/>
        </w:rPr>
      </w:pPr>
      <w:r>
        <w:t xml:space="preserve">W powyższym kontekście do szczególnie uciążliwych i wadliwie merytorycznie należą procedury przepisów środowiskowych, o ochronie zabytków, o ochronie przyrody, o drogach publicznych czy prawo wodne. </w:t>
      </w:r>
    </w:p>
    <w:p w:rsidR="00C838FB" w:rsidRDefault="00C838FB" w:rsidP="00C838FB">
      <w:pPr>
        <w:spacing w:after="0" w:line="20" w:lineRule="atLeast"/>
        <w:ind w:left="708"/>
        <w:jc w:val="both"/>
        <w:rPr>
          <w:b/>
        </w:rPr>
      </w:pPr>
    </w:p>
    <w:p w:rsidR="00C838FB" w:rsidRDefault="00C838FB" w:rsidP="00C838FB">
      <w:pPr>
        <w:spacing w:after="0" w:line="20" w:lineRule="atLeast"/>
        <w:jc w:val="both"/>
      </w:pPr>
      <w:r>
        <w:t xml:space="preserve">Przykładem może być konieczność usprawnienia </w:t>
      </w:r>
      <w:r w:rsidRPr="00B8600A">
        <w:t>procedur środowiskowych</w:t>
      </w:r>
      <w:r>
        <w:t>, których celem winno być eliminowanie inwestycji realnie mogących szkodzić środowisku, a nie stawianie administracyjnych barier. Przykładowo taką sztuczną barierą jest nakaz przedstawiania przez Inwestora szczegółowych rozwiązań technicznych na potrzeby DUŚ, już na etapie przed uzyskaniem decyzji o warunkach zabudowy, a więc przed określeniem przez organ podstawowych parametrów przestrzennych inwestycji. Konsekwencją uzyskania decyzji DUŚ na etapie decyzji o warunkach zabudowy jest, jak praktyka pokazuje, ponowne przechodzenie przez długotrwałą procedurę DUŚ na etapie projektu budowlanego.</w:t>
      </w:r>
    </w:p>
    <w:p w:rsidR="00C838FB" w:rsidRDefault="00C838FB" w:rsidP="00C838FB">
      <w:pPr>
        <w:spacing w:after="0" w:line="20" w:lineRule="atLeast"/>
        <w:ind w:left="708"/>
        <w:jc w:val="both"/>
      </w:pPr>
    </w:p>
    <w:p w:rsidR="00C838FB" w:rsidRDefault="00C838FB" w:rsidP="00C838FB">
      <w:pPr>
        <w:spacing w:after="0" w:line="20" w:lineRule="atLeast"/>
        <w:jc w:val="both"/>
      </w:pPr>
      <w:r>
        <w:t xml:space="preserve">Podobne źródło mają także inne utrudnienia w procesie projektowym. Brak precyzyjnego ustalenia zakresu ochrony zabytków w ustaleniach </w:t>
      </w:r>
      <w:proofErr w:type="spellStart"/>
      <w:r>
        <w:t>mpzp</w:t>
      </w:r>
      <w:proofErr w:type="spellEnd"/>
      <w:r>
        <w:t xml:space="preserve"> czy ewidencji zabytków powoduje, że już na początku procesu projektowego powstaje konieczność przedstawiania i opiniowania rozwiązań projektowych, które dopiero mają powstać w wyniku tego procesu. Gdyby próbować przeanalizować ten proces w świetle obowiązujących przepisów to należy wskazać przede wszystkim:</w:t>
      </w:r>
    </w:p>
    <w:p w:rsidR="00C838FB" w:rsidRDefault="00C838FB" w:rsidP="00C838FB">
      <w:pPr>
        <w:spacing w:after="0" w:line="20" w:lineRule="atLeast"/>
        <w:jc w:val="both"/>
      </w:pPr>
      <w:r>
        <w:t>- ustawę z dnia 23 lipca 2003 o ochronie zabytków i opiece nad zabytkami, która stanowi m. in.:</w:t>
      </w:r>
    </w:p>
    <w:p w:rsidR="00C838FB" w:rsidRDefault="00C838FB" w:rsidP="00C838FB">
      <w:pPr>
        <w:spacing w:after="0" w:line="20" w:lineRule="atLeast"/>
        <w:ind w:left="705"/>
        <w:jc w:val="both"/>
      </w:pPr>
      <w:r>
        <w:t xml:space="preserve">- w art. 18 pkt 1 i 2 nakazuje uwzględnienie ochrony i opieki nad zabytkami w m. in. miejscowych planach zagospodarowania przestrzennego oraz decyzjach o warunkach zabudowy; </w:t>
      </w:r>
    </w:p>
    <w:p w:rsidR="00C838FB" w:rsidRDefault="00C838FB" w:rsidP="00C838FB">
      <w:pPr>
        <w:spacing w:after="0" w:line="20" w:lineRule="atLeast"/>
        <w:ind w:left="705"/>
        <w:jc w:val="both"/>
      </w:pPr>
      <w:r>
        <w:t>- w art. 21 nakazuje prowadzenie ewidencji zabytków jako podstawy programów opieki nad zabytkami przez województwa, powiaty i gminy;</w:t>
      </w:r>
    </w:p>
    <w:p w:rsidR="00C838FB" w:rsidRDefault="00C838FB" w:rsidP="00C838FB">
      <w:pPr>
        <w:spacing w:after="0" w:line="20" w:lineRule="atLeast"/>
        <w:ind w:left="705"/>
        <w:jc w:val="both"/>
      </w:pPr>
      <w:r>
        <w:t>- w art. 27 zobowiązuje wojewódzkiego konserwatora zabytków przedstawienia w formie pisemnej zaleceń konserwatorskich, określających sposób korzystania z zabytku i zakresu dopuszczalnych zmian;</w:t>
      </w:r>
    </w:p>
    <w:p w:rsidR="00C838FB" w:rsidRDefault="00C838FB" w:rsidP="00C838FB">
      <w:pPr>
        <w:spacing w:after="0" w:line="20" w:lineRule="atLeast"/>
        <w:ind w:left="705"/>
        <w:jc w:val="both"/>
      </w:pPr>
      <w:r>
        <w:t>- w art. 37 pkt 1 określa zakres wydawanego przez wojewódzkiego konserwatora zabytków pozwolenia na prowadzenie m. in. robót budowlanych;</w:t>
      </w:r>
    </w:p>
    <w:p w:rsidR="00C838FB" w:rsidRDefault="00C838FB" w:rsidP="00C838FB">
      <w:pPr>
        <w:spacing w:after="0" w:line="20" w:lineRule="atLeast"/>
        <w:ind w:left="705"/>
        <w:jc w:val="both"/>
      </w:pPr>
    </w:p>
    <w:p w:rsidR="00C838FB" w:rsidRDefault="00C838FB" w:rsidP="00C838FB">
      <w:pPr>
        <w:spacing w:after="0" w:line="20" w:lineRule="atLeast"/>
        <w:jc w:val="both"/>
      </w:pPr>
      <w:r>
        <w:t xml:space="preserve">- rozporządzenie </w:t>
      </w:r>
      <w:proofErr w:type="spellStart"/>
      <w:r>
        <w:t>MKiDN</w:t>
      </w:r>
      <w:proofErr w:type="spellEnd"/>
      <w:r>
        <w:t xml:space="preserve"> z dnia 26 maja 2011 w sprawie prowadzenia rejestru zabytków krajowej, wojewódzkiej i gminnej ewidencji zabytków oraz krajowego wykazu zabytków skradzionych lub wywiezionych za granicę niezgodnie z prawem, które określa m. in.: konieczność ustalenia zakresu ochrony zabytku nieruchomego w zapisach ewidencji zabytków;</w:t>
      </w:r>
    </w:p>
    <w:p w:rsidR="00C838FB" w:rsidRDefault="00C838FB" w:rsidP="00C838FB">
      <w:pPr>
        <w:spacing w:after="0" w:line="20" w:lineRule="atLeast"/>
        <w:jc w:val="both"/>
      </w:pPr>
    </w:p>
    <w:p w:rsidR="00C838FB" w:rsidRDefault="00C838FB" w:rsidP="00C838FB">
      <w:pPr>
        <w:spacing w:after="0" w:line="20" w:lineRule="atLeast"/>
        <w:jc w:val="both"/>
        <w:rPr>
          <w:rFonts w:eastAsia="Times New Roman"/>
          <w:lang w:eastAsia="pl-PL"/>
        </w:rPr>
      </w:pPr>
      <w:r>
        <w:lastRenderedPageBreak/>
        <w:t xml:space="preserve">- rozporządzenie </w:t>
      </w:r>
      <w:proofErr w:type="spellStart"/>
      <w:r>
        <w:t>MKiDN</w:t>
      </w:r>
      <w:proofErr w:type="spellEnd"/>
      <w:r>
        <w:t xml:space="preserve"> z dnia 27 lipca 2011 </w:t>
      </w:r>
      <w:r w:rsidRPr="004014FA">
        <w:rPr>
          <w:rFonts w:eastAsia="Times New Roman"/>
          <w:lang w:eastAsia="pl-PL"/>
        </w:rPr>
        <w:t>w sprawie prowadzenia prac konserwatorskich, prac restauratorskich, robót budowlanych, badań konserwatorskich, badań architektonicznych i innych działań przy zabytku wpisanym do rejestru zabytków oraz badań archeologicznych</w:t>
      </w:r>
      <w:r>
        <w:rPr>
          <w:rFonts w:eastAsia="Times New Roman"/>
          <w:lang w:eastAsia="pl-PL"/>
        </w:rPr>
        <w:t xml:space="preserve">, które stanowi m. in: o konieczności dołączenia do wniosku o pozwolenie na prowadzenie prac przy zabytku projektu budowlanego albo jego części, niezbędnego </w:t>
      </w:r>
      <w:r w:rsidRPr="002F7F6B">
        <w:rPr>
          <w:rFonts w:eastAsia="Times New Roman"/>
          <w:lang w:eastAsia="pl-PL"/>
        </w:rPr>
        <w:t>do oceny wpływu planowanych robót budowlanych na zabytek</w:t>
      </w:r>
      <w:r>
        <w:rPr>
          <w:rFonts w:eastAsia="Times New Roman"/>
          <w:lang w:eastAsia="pl-PL"/>
        </w:rPr>
        <w:t>.</w:t>
      </w:r>
    </w:p>
    <w:p w:rsidR="00C838FB" w:rsidRDefault="00C838FB" w:rsidP="00C838FB">
      <w:pPr>
        <w:spacing w:after="0" w:line="20" w:lineRule="atLeast"/>
        <w:jc w:val="both"/>
        <w:rPr>
          <w:rFonts w:eastAsia="Times New Roman"/>
          <w:lang w:eastAsia="pl-PL"/>
        </w:rPr>
      </w:pPr>
    </w:p>
    <w:p w:rsidR="00C838FB" w:rsidRDefault="00C838FB" w:rsidP="00C838FB">
      <w:pPr>
        <w:spacing w:after="0" w:line="20" w:lineRule="atLeast"/>
        <w:jc w:val="both"/>
      </w:pPr>
      <w:r>
        <w:t>Należy zatem wskazać, że w istniejących przepisach istnieją podstawy do metodologicznego ułożenia procesu projektowego opierając się o obowiązkowy zakres ochrony umieszczany w ewidencji zabytków. Jak jednak wskazuje praktyka braki szczegółowych zapisów w tych dokumentach uzupełniane są poprzez żądania przedstawiania i opiniowania konkretnych rozwiązań projektowych. Tymczasem z zapisów o zakresie ochrony powinny wynikać wystarczające przesłanki do prowadzenia prac projektowych, które w swoim końcowym przebiegu powinny być konfrontowane z założeniami ochronnymi.</w:t>
      </w:r>
    </w:p>
    <w:p w:rsidR="00C838FB" w:rsidRDefault="00C838FB" w:rsidP="00C838FB">
      <w:pPr>
        <w:spacing w:after="0" w:line="20" w:lineRule="atLeast"/>
        <w:jc w:val="both"/>
      </w:pPr>
    </w:p>
    <w:p w:rsidR="00C838FB" w:rsidRDefault="00C838FB" w:rsidP="00C838FB">
      <w:pPr>
        <w:spacing w:after="0" w:line="20" w:lineRule="atLeast"/>
        <w:jc w:val="both"/>
      </w:pPr>
      <w:r>
        <w:t>Podobne konsekwencje rodzą przepisy o drogach publicznych, powodujące przeciągające się ustalenia z zarządcami tych dróg, o ochronie przyrody, powodujące że  inwestycja musi na początku być zdefiniowana parametrycznie- zanim okaże się czy w ogóle jest możliwa, i inne.</w:t>
      </w:r>
    </w:p>
    <w:p w:rsidR="00C838FB" w:rsidRDefault="00C838FB" w:rsidP="00C838FB">
      <w:pPr>
        <w:spacing w:after="0" w:line="20" w:lineRule="atLeast"/>
        <w:jc w:val="both"/>
      </w:pPr>
    </w:p>
    <w:p w:rsidR="00C838FB" w:rsidRPr="00CB3FEC" w:rsidRDefault="00C838FB" w:rsidP="00C838FB">
      <w:pPr>
        <w:spacing w:after="0" w:line="20" w:lineRule="atLeast"/>
        <w:rPr>
          <w:b/>
          <w:sz w:val="28"/>
          <w:szCs w:val="28"/>
        </w:rPr>
      </w:pPr>
      <w:r w:rsidRPr="00CB3FEC">
        <w:rPr>
          <w:b/>
          <w:sz w:val="28"/>
          <w:szCs w:val="28"/>
        </w:rPr>
        <w:t>Wnioski:</w:t>
      </w:r>
    </w:p>
    <w:p w:rsidR="00C838FB" w:rsidRDefault="00C838FB" w:rsidP="00C838FB">
      <w:pPr>
        <w:spacing w:after="0" w:line="20" w:lineRule="atLeast"/>
        <w:jc w:val="both"/>
      </w:pPr>
      <w:r w:rsidRPr="005927F7">
        <w:rPr>
          <w:b/>
        </w:rPr>
        <w:t>Rozwiązaniem byłoby przegląd procedur wynikających z przepisów odrębnych</w:t>
      </w:r>
      <w:r>
        <w:t>. Nie wydaje się możliwe uproszczenie procesu projektowego bez zmian wymagań i zakresów wynikających z tych odrębnych postępowań. Przed rozpoczęciem procesu projektowego konieczne są parametry, wytyczne  i zakresy ochrony a nie- jak to się dzieje obecnie- konkretne rozwiązania projektowe, które mają zastępować ewidentne braki w dokumentach ochronnych, planistycznych i innych.</w:t>
      </w:r>
    </w:p>
    <w:p w:rsidR="00C838FB" w:rsidRDefault="00C838FB" w:rsidP="00C838FB">
      <w:pPr>
        <w:spacing w:after="0" w:line="20" w:lineRule="atLeast"/>
        <w:jc w:val="both"/>
      </w:pPr>
    </w:p>
    <w:p w:rsidR="00C838FB" w:rsidRDefault="00C838FB" w:rsidP="00C838FB">
      <w:pPr>
        <w:spacing w:after="0" w:line="20" w:lineRule="atLeast"/>
        <w:jc w:val="both"/>
      </w:pPr>
      <w:r w:rsidRPr="00A862E2">
        <w:rPr>
          <w:highlight w:val="yellow"/>
        </w:rPr>
        <w:t xml:space="preserve">W obrębie przepisów z zakresu ochrony konserwatorskiej niezbędnym jest wzmocnienie merytoryczne struktur organizacyjnych biur wojewódzkiego konserwatora zabytków. Proponuje się dodanie do obecnych przepisów odpowiedniej ustawy dodatkowego art. 91 pkt 3a w brzmieniu: </w:t>
      </w:r>
      <w:r w:rsidRPr="00A862E2">
        <w:rPr>
          <w:b/>
          <w:highlight w:val="yellow"/>
        </w:rPr>
        <w:t>„Wojewódzki konserwator zabytków lub zastępca wojewódzkiego konserwatora zabytków musi posiadać tytuł zawodowy o którym mowa w art. 91 pkt 2 ust. 2 w specjalności architektura i budownictwo”.</w:t>
      </w:r>
      <w:r w:rsidRPr="00A862E2">
        <w:rPr>
          <w:highlight w:val="yellow"/>
        </w:rPr>
        <w:t xml:space="preserve"> Ma to szczególne znaczenie wobec pojawiającej s</w:t>
      </w:r>
      <w:bookmarkStart w:id="0" w:name="_GoBack"/>
      <w:bookmarkEnd w:id="0"/>
      <w:r w:rsidRPr="00A862E2">
        <w:rPr>
          <w:highlight w:val="yellow"/>
        </w:rPr>
        <w:t>ię ostatnio tezy o przekazaniu postępowań administracyjnych w sprawie pozwolenia na budowę w obiektach zabytkowych do biur wojewódzkich konserwatorów zabytków</w:t>
      </w:r>
      <w:r>
        <w:t>.</w:t>
      </w:r>
    </w:p>
    <w:p w:rsidR="00C838FB" w:rsidRDefault="00C838FB" w:rsidP="00C838FB">
      <w:pPr>
        <w:spacing w:after="0" w:line="20" w:lineRule="atLeast"/>
        <w:rPr>
          <w:b/>
          <w:sz w:val="28"/>
          <w:szCs w:val="28"/>
        </w:rPr>
      </w:pPr>
    </w:p>
    <w:p w:rsidR="00FB5FE1" w:rsidRDefault="00FB5FE1"/>
    <w:sectPr w:rsidR="00FB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FB"/>
    <w:rsid w:val="00176F4C"/>
    <w:rsid w:val="0062678D"/>
    <w:rsid w:val="00832E11"/>
    <w:rsid w:val="00A862E2"/>
    <w:rsid w:val="00C838FB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2012-12-09T13:24:00Z</dcterms:created>
  <dcterms:modified xsi:type="dcterms:W3CDTF">2013-01-15T13:54:00Z</dcterms:modified>
</cp:coreProperties>
</file>